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C5060" w14:textId="4DFA7C90" w:rsidR="002D62A1" w:rsidRPr="00F21BBD" w:rsidRDefault="008C1E2A" w:rsidP="002D62A1">
      <w:pPr>
        <w:tabs>
          <w:tab w:val="left" w:pos="4988"/>
        </w:tabs>
        <w:jc w:val="center"/>
        <w:outlineLvl w:val="0"/>
        <w:rPr>
          <w:rFonts w:ascii="Times New Roman" w:hAnsi="Times New Roman" w:cs="Times New Roman"/>
          <w:bCs/>
        </w:rPr>
      </w:pPr>
      <w:r>
        <w:rPr>
          <w:rFonts w:ascii="Times New Roman" w:hAnsi="Times New Roman" w:cs="Times New Roman" w:hint="eastAsia"/>
          <w:bCs/>
        </w:rPr>
        <w:t xml:space="preserve"> </w:t>
      </w:r>
      <w:r w:rsidR="002D62A1" w:rsidRPr="00F21BBD">
        <w:rPr>
          <w:rFonts w:ascii="Times New Roman" w:hAnsi="Times New Roman" w:cs="Times New Roman"/>
          <w:bCs/>
        </w:rPr>
        <w:t>Supplementary materials of</w:t>
      </w:r>
    </w:p>
    <w:p w14:paraId="60E3C58D" w14:textId="1B0B36D6" w:rsidR="002D62A1" w:rsidRPr="00F21BBD" w:rsidRDefault="002D62A1" w:rsidP="006F1E0D">
      <w:pPr>
        <w:tabs>
          <w:tab w:val="left" w:pos="4988"/>
        </w:tabs>
        <w:jc w:val="center"/>
        <w:outlineLvl w:val="0"/>
        <w:rPr>
          <w:rFonts w:ascii="Times New Roman" w:hAnsi="Times New Roman" w:cs="Times New Roman"/>
          <w:b/>
        </w:rPr>
      </w:pPr>
      <w:r w:rsidRPr="00F21BBD">
        <w:rPr>
          <w:rFonts w:ascii="Times New Roman" w:hAnsi="Times New Roman" w:cs="Times New Roman"/>
          <w:b/>
        </w:rPr>
        <w:t>‘</w:t>
      </w:r>
      <w:r w:rsidR="00AC69DE" w:rsidRPr="00F21BBD">
        <w:rPr>
          <w:rFonts w:ascii="Times New Roman" w:hAnsi="Times New Roman" w:cs="Times New Roman"/>
          <w:b/>
          <w:bCs/>
        </w:rPr>
        <w:t>A landslide-induced winter outburst from a frozen glacial lake in the Central Himalaya</w:t>
      </w:r>
      <w:r w:rsidRPr="00F21BBD">
        <w:rPr>
          <w:rFonts w:ascii="Times New Roman" w:hAnsi="Times New Roman" w:cs="Times New Roman"/>
          <w:b/>
        </w:rPr>
        <w:t>’</w:t>
      </w:r>
    </w:p>
    <w:p w14:paraId="45173679" w14:textId="034D7820" w:rsidR="003B0E99" w:rsidRPr="00F21BBD" w:rsidRDefault="003B0E99" w:rsidP="003B0E99">
      <w:pPr>
        <w:jc w:val="both"/>
        <w:rPr>
          <w:rFonts w:ascii="Times New Roman" w:eastAsia="等线" w:hAnsi="Times New Roman" w:cs="Times New Roman"/>
          <w:sz w:val="20"/>
          <w:szCs w:val="21"/>
        </w:rPr>
      </w:pPr>
      <w:r w:rsidRPr="00F21BBD">
        <w:rPr>
          <w:rFonts w:ascii="Times New Roman" w:eastAsia="等线" w:hAnsi="Times New Roman" w:cs="Times New Roman"/>
          <w:sz w:val="20"/>
          <w:szCs w:val="21"/>
        </w:rPr>
        <w:t>Qiao Liu</w:t>
      </w:r>
      <w:r w:rsidRPr="00F21BBD">
        <w:rPr>
          <w:rFonts w:ascii="Times New Roman" w:eastAsia="等线" w:hAnsi="Times New Roman" w:cs="Times New Roman"/>
          <w:sz w:val="20"/>
          <w:szCs w:val="21"/>
          <w:vertAlign w:val="superscript"/>
        </w:rPr>
        <w:t>1*</w:t>
      </w:r>
      <w:r w:rsidRPr="00F21BBD">
        <w:rPr>
          <w:rFonts w:ascii="Times New Roman" w:eastAsia="等线" w:hAnsi="Times New Roman" w:cs="Times New Roman"/>
          <w:sz w:val="20"/>
          <w:szCs w:val="21"/>
        </w:rPr>
        <w:t>, Yongsheng Yin</w:t>
      </w:r>
      <w:r w:rsidRPr="00F21BBD">
        <w:rPr>
          <w:rFonts w:ascii="Times New Roman" w:eastAsia="等线" w:hAnsi="Times New Roman" w:cs="Times New Roman"/>
          <w:sz w:val="20"/>
          <w:szCs w:val="21"/>
          <w:vertAlign w:val="superscript"/>
        </w:rPr>
        <w:t>1,2</w:t>
      </w:r>
      <w:r w:rsidRPr="00F21BBD">
        <w:rPr>
          <w:rFonts w:ascii="Times New Roman" w:eastAsia="等线" w:hAnsi="Times New Roman" w:cs="Times New Roman"/>
          <w:sz w:val="20"/>
          <w:szCs w:val="21"/>
        </w:rPr>
        <w:t>, Jiawei Yang</w:t>
      </w:r>
      <w:r w:rsidRPr="00F21BBD">
        <w:rPr>
          <w:rFonts w:ascii="Times New Roman" w:eastAsia="等线" w:hAnsi="Times New Roman" w:cs="Times New Roman"/>
          <w:sz w:val="20"/>
          <w:szCs w:val="21"/>
          <w:vertAlign w:val="superscript"/>
        </w:rPr>
        <w:t>1,2</w:t>
      </w:r>
      <w:r w:rsidRPr="00F21BBD">
        <w:rPr>
          <w:rFonts w:ascii="Times New Roman" w:eastAsia="等线" w:hAnsi="Times New Roman" w:cs="Times New Roman"/>
          <w:sz w:val="20"/>
          <w:szCs w:val="21"/>
        </w:rPr>
        <w:t xml:space="preserve">, </w:t>
      </w:r>
      <w:proofErr w:type="spellStart"/>
      <w:r w:rsidRPr="00F21BBD">
        <w:rPr>
          <w:rFonts w:ascii="Times New Roman" w:eastAsia="等线" w:hAnsi="Times New Roman" w:cs="Times New Roman"/>
          <w:sz w:val="20"/>
          <w:szCs w:val="21"/>
        </w:rPr>
        <w:t>Yunyi</w:t>
      </w:r>
      <w:proofErr w:type="spellEnd"/>
      <w:r w:rsidRPr="00F21BBD">
        <w:rPr>
          <w:rFonts w:ascii="Times New Roman" w:eastAsia="等线" w:hAnsi="Times New Roman" w:cs="Times New Roman"/>
          <w:sz w:val="20"/>
          <w:szCs w:val="21"/>
        </w:rPr>
        <w:t xml:space="preserve"> Luo</w:t>
      </w:r>
      <w:r w:rsidRPr="00F21BBD">
        <w:rPr>
          <w:rFonts w:ascii="Times New Roman" w:eastAsia="等线" w:hAnsi="Times New Roman" w:cs="Times New Roman"/>
          <w:sz w:val="20"/>
          <w:szCs w:val="21"/>
          <w:vertAlign w:val="superscript"/>
        </w:rPr>
        <w:t>1,2</w:t>
      </w:r>
      <w:r w:rsidRPr="00F21BBD">
        <w:rPr>
          <w:rFonts w:ascii="Times New Roman" w:eastAsia="等线" w:hAnsi="Times New Roman" w:cs="Times New Roman"/>
          <w:sz w:val="20"/>
          <w:szCs w:val="21"/>
        </w:rPr>
        <w:t xml:space="preserve">, </w:t>
      </w:r>
      <w:proofErr w:type="spellStart"/>
      <w:r w:rsidRPr="00F21BBD">
        <w:rPr>
          <w:rFonts w:ascii="Times New Roman" w:eastAsia="等线" w:hAnsi="Times New Roman" w:cs="Times New Roman"/>
          <w:sz w:val="20"/>
          <w:szCs w:val="21"/>
        </w:rPr>
        <w:t>Xueyuan</w:t>
      </w:r>
      <w:proofErr w:type="spellEnd"/>
      <w:r w:rsidRPr="00F21BBD">
        <w:rPr>
          <w:rFonts w:ascii="Times New Roman" w:eastAsia="等线" w:hAnsi="Times New Roman" w:cs="Times New Roman"/>
          <w:sz w:val="20"/>
          <w:szCs w:val="21"/>
        </w:rPr>
        <w:t xml:space="preserve"> Lu</w:t>
      </w:r>
      <w:r w:rsidRPr="00F21BBD">
        <w:rPr>
          <w:rFonts w:ascii="Times New Roman" w:eastAsia="等线" w:hAnsi="Times New Roman" w:cs="Times New Roman"/>
          <w:sz w:val="20"/>
          <w:szCs w:val="21"/>
          <w:vertAlign w:val="superscript"/>
        </w:rPr>
        <w:t>1,2</w:t>
      </w:r>
      <w:r w:rsidRPr="00F21BBD">
        <w:rPr>
          <w:rFonts w:ascii="Times New Roman" w:eastAsia="等线" w:hAnsi="Times New Roman" w:cs="Times New Roman"/>
          <w:sz w:val="20"/>
          <w:szCs w:val="21"/>
        </w:rPr>
        <w:t>, Hao Wang</w:t>
      </w:r>
      <w:r w:rsidRPr="00F21BBD">
        <w:rPr>
          <w:rFonts w:ascii="Times New Roman" w:eastAsia="等线" w:hAnsi="Times New Roman" w:cs="Times New Roman"/>
          <w:sz w:val="20"/>
          <w:szCs w:val="21"/>
          <w:vertAlign w:val="superscript"/>
        </w:rPr>
        <w:t>1</w:t>
      </w:r>
      <w:r w:rsidRPr="00F21BBD">
        <w:rPr>
          <w:rFonts w:ascii="Times New Roman" w:eastAsia="等线" w:hAnsi="Times New Roman" w:cs="Times New Roman"/>
          <w:sz w:val="20"/>
          <w:szCs w:val="21"/>
        </w:rPr>
        <w:t>, Yin Fu</w:t>
      </w:r>
      <w:r w:rsidRPr="00F21BBD">
        <w:rPr>
          <w:rFonts w:ascii="Times New Roman" w:eastAsia="等线" w:hAnsi="Times New Roman" w:cs="Times New Roman"/>
          <w:sz w:val="20"/>
          <w:szCs w:val="21"/>
          <w:vertAlign w:val="superscript"/>
        </w:rPr>
        <w:t>1</w:t>
      </w:r>
      <w:r w:rsidRPr="00F21BBD">
        <w:rPr>
          <w:rFonts w:ascii="Times New Roman" w:eastAsia="等线" w:hAnsi="Times New Roman" w:cs="Times New Roman"/>
          <w:sz w:val="20"/>
          <w:szCs w:val="21"/>
        </w:rPr>
        <w:t>, Bo Zhang</w:t>
      </w:r>
      <w:r w:rsidRPr="00F21BBD">
        <w:rPr>
          <w:rFonts w:ascii="Times New Roman" w:eastAsia="等线" w:hAnsi="Times New Roman" w:cs="Times New Roman"/>
          <w:sz w:val="20"/>
          <w:szCs w:val="21"/>
          <w:vertAlign w:val="superscript"/>
        </w:rPr>
        <w:t>1</w:t>
      </w:r>
      <w:r w:rsidRPr="00F21BBD">
        <w:rPr>
          <w:rFonts w:ascii="Times New Roman" w:eastAsia="等线" w:hAnsi="Times New Roman" w:cs="Times New Roman"/>
          <w:sz w:val="20"/>
          <w:szCs w:val="21"/>
        </w:rPr>
        <w:t>, Qianqian Zheng</w:t>
      </w:r>
      <w:r w:rsidRPr="00F21BBD">
        <w:rPr>
          <w:rFonts w:ascii="Times New Roman" w:eastAsia="等线" w:hAnsi="Times New Roman" w:cs="Times New Roman"/>
          <w:sz w:val="20"/>
          <w:szCs w:val="21"/>
          <w:vertAlign w:val="superscript"/>
        </w:rPr>
        <w:t>3</w:t>
      </w:r>
      <w:r w:rsidRPr="00F21BBD">
        <w:rPr>
          <w:rFonts w:ascii="Times New Roman" w:eastAsia="等线" w:hAnsi="Times New Roman" w:cs="Times New Roman"/>
          <w:sz w:val="20"/>
          <w:szCs w:val="21"/>
        </w:rPr>
        <w:t>, Dongyu Lei</w:t>
      </w:r>
      <w:r w:rsidRPr="00F21BBD">
        <w:rPr>
          <w:rFonts w:ascii="Times New Roman" w:eastAsia="等线" w:hAnsi="Times New Roman" w:cs="Times New Roman"/>
          <w:sz w:val="20"/>
          <w:szCs w:val="21"/>
          <w:vertAlign w:val="superscript"/>
        </w:rPr>
        <w:t>4</w:t>
      </w:r>
      <w:r w:rsidRPr="00F21BBD">
        <w:rPr>
          <w:rFonts w:ascii="Times New Roman" w:eastAsia="等线" w:hAnsi="Times New Roman" w:cs="Times New Roman"/>
          <w:sz w:val="20"/>
          <w:szCs w:val="21"/>
        </w:rPr>
        <w:t>, Xin Wang</w:t>
      </w:r>
      <w:r w:rsidRPr="00F21BBD">
        <w:rPr>
          <w:rFonts w:ascii="Times New Roman" w:eastAsia="等线" w:hAnsi="Times New Roman" w:cs="Times New Roman"/>
          <w:sz w:val="20"/>
          <w:szCs w:val="21"/>
          <w:vertAlign w:val="superscript"/>
        </w:rPr>
        <w:t>4</w:t>
      </w:r>
      <w:r w:rsidRPr="00F21BBD">
        <w:rPr>
          <w:rFonts w:ascii="Times New Roman" w:eastAsia="等线" w:hAnsi="Times New Roman" w:cs="Times New Roman"/>
          <w:sz w:val="20"/>
          <w:szCs w:val="21"/>
        </w:rPr>
        <w:t>, Shiyin Liu</w:t>
      </w:r>
      <w:r w:rsidRPr="00F21BBD">
        <w:rPr>
          <w:rFonts w:ascii="Times New Roman" w:eastAsia="等线" w:hAnsi="Times New Roman" w:cs="Times New Roman"/>
          <w:sz w:val="20"/>
          <w:szCs w:val="21"/>
          <w:vertAlign w:val="superscript"/>
        </w:rPr>
        <w:t>5</w:t>
      </w:r>
      <w:r w:rsidRPr="00F21BBD">
        <w:rPr>
          <w:rFonts w:ascii="Times New Roman" w:eastAsia="等线" w:hAnsi="Times New Roman" w:cs="Times New Roman"/>
          <w:sz w:val="20"/>
          <w:szCs w:val="21"/>
        </w:rPr>
        <w:t>, Yong Nie</w:t>
      </w:r>
      <w:r w:rsidRPr="00F21BBD">
        <w:rPr>
          <w:rFonts w:ascii="Times New Roman" w:eastAsia="等线" w:hAnsi="Times New Roman" w:cs="Times New Roman"/>
          <w:sz w:val="20"/>
          <w:szCs w:val="21"/>
          <w:vertAlign w:val="superscript"/>
        </w:rPr>
        <w:t>1,2</w:t>
      </w:r>
      <w:r w:rsidRPr="00F21BBD">
        <w:rPr>
          <w:rFonts w:ascii="Times New Roman" w:eastAsia="等线" w:hAnsi="Times New Roman" w:cs="Times New Roman"/>
          <w:sz w:val="20"/>
          <w:szCs w:val="21"/>
        </w:rPr>
        <w:t>, Shichang Kang</w:t>
      </w:r>
      <w:r w:rsidRPr="00F21BBD">
        <w:rPr>
          <w:rFonts w:ascii="Times New Roman" w:eastAsia="等线" w:hAnsi="Times New Roman" w:cs="Times New Roman"/>
          <w:sz w:val="20"/>
          <w:szCs w:val="21"/>
          <w:vertAlign w:val="superscript"/>
        </w:rPr>
        <w:t xml:space="preserve">1,2, </w:t>
      </w:r>
    </w:p>
    <w:p w14:paraId="26918FAF"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1 Key Laboratory of Mountain Hazards and Engineering Resilience, Institute of Mountain Hazard and Environment, Chinese Academy of Sciences, Chengdu 610213, China</w:t>
      </w:r>
    </w:p>
    <w:p w14:paraId="3941EA3E"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2 College of Resources and Environment, University of Chinese Academy of Sciences, Beijing 100049, China</w:t>
      </w:r>
    </w:p>
    <w:p w14:paraId="30C412CF"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3 Xizang Autonomous Region Academy of Ecological and Environmental Sciences, Lhasa 850000, China</w:t>
      </w:r>
    </w:p>
    <w:p w14:paraId="6D125135"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4 School of Resource Environment and Safety Engineering, Hunan University of Science and Technology, Xiangtan 411201, China</w:t>
      </w:r>
    </w:p>
    <w:p w14:paraId="72C25F6D"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5 Institute of International Rivers and Eco-security, Yunnan University, Kunming, Yunnan 650500, China</w:t>
      </w:r>
    </w:p>
    <w:p w14:paraId="25D3DE7F" w14:textId="77777777" w:rsidR="003B0E99" w:rsidRPr="00F21BBD" w:rsidRDefault="003B0E99" w:rsidP="003B0E99">
      <w:pPr>
        <w:spacing w:after="0" w:line="240" w:lineRule="auto"/>
        <w:ind w:left="180" w:hangingChars="100" w:hanging="180"/>
        <w:jc w:val="both"/>
        <w:rPr>
          <w:rFonts w:ascii="Times New Roman" w:eastAsia="等线" w:hAnsi="Times New Roman" w:cs="Times New Roman"/>
          <w:sz w:val="18"/>
          <w:szCs w:val="20"/>
        </w:rPr>
      </w:pPr>
      <w:r w:rsidRPr="00F21BBD">
        <w:rPr>
          <w:rFonts w:ascii="Times New Roman" w:eastAsia="等线" w:hAnsi="Times New Roman" w:cs="Times New Roman"/>
          <w:sz w:val="18"/>
          <w:szCs w:val="20"/>
        </w:rPr>
        <w:t>*Corresponding to liuqiao@imde.ac.cn</w:t>
      </w:r>
    </w:p>
    <w:p w14:paraId="4C0B7864" w14:textId="77777777" w:rsidR="003B0E99" w:rsidRPr="00F21BBD" w:rsidRDefault="003B0E99" w:rsidP="003B0E99">
      <w:pPr>
        <w:jc w:val="both"/>
        <w:rPr>
          <w:rFonts w:ascii="Times New Roman" w:eastAsia="等线" w:hAnsi="Times New Roman" w:cs="Times New Roman"/>
        </w:rPr>
      </w:pPr>
    </w:p>
    <w:p w14:paraId="3CC291E1" w14:textId="77777777" w:rsidR="00AF66FC" w:rsidRPr="00F21BBD" w:rsidRDefault="00AF66FC" w:rsidP="00AF66FC">
      <w:pPr>
        <w:jc w:val="both"/>
        <w:outlineLvl w:val="1"/>
        <w:rPr>
          <w:rFonts w:ascii="Times New Roman" w:eastAsia="等线" w:hAnsi="Times New Roman" w:cs="Times New Roman"/>
          <w:b/>
          <w:bCs/>
        </w:rPr>
      </w:pPr>
      <w:bookmarkStart w:id="0" w:name="OLE_LINK2"/>
      <w:r w:rsidRPr="00F21BBD">
        <w:rPr>
          <w:rFonts w:ascii="Times New Roman" w:eastAsia="等线" w:hAnsi="Times New Roman" w:cs="Times New Roman"/>
          <w:b/>
          <w:bCs/>
        </w:rPr>
        <w:t>Glacier and glacial lake mapping with repeat satellites and drone surveys</w:t>
      </w:r>
    </w:p>
    <w:p w14:paraId="0F632E05" w14:textId="5C545F8A" w:rsidR="00AF66FC" w:rsidRPr="00F21BBD" w:rsidRDefault="00AF66FC" w:rsidP="00AF66FC">
      <w:pPr>
        <w:jc w:val="both"/>
        <w:rPr>
          <w:rFonts w:ascii="Times New Roman" w:eastAsia="等线" w:hAnsi="Times New Roman" w:cs="Times New Roman"/>
        </w:rPr>
      </w:pPr>
      <w:bookmarkStart w:id="1" w:name="OLE_LINK23"/>
      <w:bookmarkEnd w:id="0"/>
      <w:r w:rsidRPr="00F21BBD">
        <w:rPr>
          <w:rFonts w:ascii="Times New Roman" w:eastAsia="等线" w:hAnsi="Times New Roman" w:cs="Times New Roman"/>
        </w:rPr>
        <w:t>Glacier and glacial lake mapping were primarily performed through manual delineation, as most glaciers in the study area are either debris-free or only partially debris-covered (patchy supraglacial debris). Both Longbasaba Glacier and Pida Glacier are lake-terminating glaciers, and their glacier-lake boundary can be clearly distinguished even when the proglacial lake is in a frozen state. These conditions typically provide clear glacier boundaries and distinct glacier–lake interfaces, allowing manual delineation to achieve the highest possible mapping accuracy. In contrast, threshold-based automated segmentation (e.g., ice/snow indices) often fail to capture debris-mantled ice, leading to systematic omission of partially debris-covered glacier areas and requiring substantial manual correction of the raw mapping results. Therefore, we employed the Second Chinese Glacier Inventory (CGI-2</w:t>
      </w:r>
      <w:r w:rsidR="00F21BBD">
        <w:rPr>
          <w:rFonts w:ascii="Times New Roman" w:eastAsia="等线" w:hAnsi="Times New Roman" w:cs="Times New Roman" w:hint="eastAsia"/>
        </w:rPr>
        <w:t xml:space="preserve">, </w:t>
      </w:r>
      <w:r w:rsidR="00732F19" w:rsidRPr="00F21BBD">
        <w:rPr>
          <w:rFonts w:ascii="Times New Roman" w:eastAsia="等线" w:hAnsi="Times New Roman" w:cs="Times New Roman"/>
          <w:color w:val="0000FF"/>
        </w:rPr>
        <w:t>(Guo et al., 2015)</w:t>
      </w:r>
      <w:r w:rsidRPr="00F21BBD">
        <w:rPr>
          <w:rFonts w:ascii="Times New Roman" w:eastAsia="等线" w:hAnsi="Times New Roman" w:cs="Times New Roman"/>
        </w:rPr>
        <w:t xml:space="preserve">) as a baseline, updated glacier boundaries through manual </w:t>
      </w:r>
      <w:bookmarkStart w:id="2" w:name="_Hlk216121931"/>
      <w:r w:rsidRPr="00F21BBD">
        <w:rPr>
          <w:rFonts w:ascii="Times New Roman" w:eastAsia="等线" w:hAnsi="Times New Roman" w:cs="Times New Roman"/>
        </w:rPr>
        <w:t>delineation</w:t>
      </w:r>
      <w:bookmarkEnd w:id="2"/>
      <w:r w:rsidRPr="00F21BBD">
        <w:rPr>
          <w:rFonts w:ascii="Times New Roman" w:eastAsia="等线" w:hAnsi="Times New Roman" w:cs="Times New Roman"/>
        </w:rPr>
        <w:t xml:space="preserve"> using high-quality Landsat imagery spanning 1977-2024 achieved by the USGS. Landsat scenes were selected based on the following criteria: (1) low cloud cover across glacierized terrain and glacial lakes; (2) limited patchy seasonal snow within glacier basins; and (3) omission of post-2003 Landsat ETM+ imagery because of the Scan Line Corrector (SLC) failure. Finally, a total of 38 Landsat scenes, most with a spatial resolution of 30 m (after 1988), while Landsat MSS acquired from 1977 has a spatial resolution of approximately 78 m, were selected to support the annual </w:t>
      </w:r>
      <w:bookmarkStart w:id="3" w:name="_Hlk215918451"/>
      <w:r w:rsidRPr="00F21BBD">
        <w:rPr>
          <w:rFonts w:ascii="Times New Roman" w:eastAsia="等线" w:hAnsi="Times New Roman" w:cs="Times New Roman"/>
        </w:rPr>
        <w:t xml:space="preserve">delineation </w:t>
      </w:r>
      <w:bookmarkEnd w:id="3"/>
      <w:r w:rsidRPr="00F21BBD">
        <w:rPr>
          <w:rFonts w:ascii="Times New Roman" w:eastAsia="等线" w:hAnsi="Times New Roman" w:cs="Times New Roman"/>
        </w:rPr>
        <w:t xml:space="preserve">of glaciers and glacial lakes in the Longbasaba and Pida basins. Two Landsat-8/9 scenes acquired in 2024 were selected for glacier and glacial lake mapping in the </w:t>
      </w:r>
      <w:proofErr w:type="spellStart"/>
      <w:r w:rsidRPr="00F21BBD">
        <w:rPr>
          <w:rFonts w:ascii="Times New Roman" w:eastAsia="等线" w:hAnsi="Times New Roman" w:cs="Times New Roman"/>
        </w:rPr>
        <w:t>Geiqu</w:t>
      </w:r>
      <w:proofErr w:type="spellEnd"/>
      <w:r w:rsidRPr="00F21BBD">
        <w:rPr>
          <w:rFonts w:ascii="Times New Roman" w:eastAsia="等线" w:hAnsi="Times New Roman" w:cs="Times New Roman"/>
        </w:rPr>
        <w:t xml:space="preserve"> basin and surroundings. Furthermore, high-resolution (~3 m) Planet imagery acquired in 2024, with a daily revisit interval, was employed to investigate the dynamics of Pida lake before and after the rock avalanche.</w:t>
      </w:r>
    </w:p>
    <w:bookmarkEnd w:id="1"/>
    <w:p w14:paraId="1A81D1B3" w14:textId="77777777" w:rsidR="00AF66FC" w:rsidRPr="00F21BBD" w:rsidRDefault="00AF66FC" w:rsidP="00AF66FC">
      <w:pPr>
        <w:jc w:val="both"/>
        <w:outlineLvl w:val="1"/>
        <w:rPr>
          <w:rFonts w:ascii="Times New Roman" w:eastAsia="等线" w:hAnsi="Times New Roman" w:cs="Times New Roman"/>
          <w:b/>
          <w:bCs/>
        </w:rPr>
      </w:pPr>
      <w:r w:rsidRPr="00F21BBD">
        <w:rPr>
          <w:rFonts w:ascii="Times New Roman" w:eastAsia="等线" w:hAnsi="Times New Roman" w:cs="Times New Roman"/>
          <w:b/>
          <w:bCs/>
        </w:rPr>
        <w:lastRenderedPageBreak/>
        <w:t>Mapping downstream channel flood inundated area</w:t>
      </w:r>
    </w:p>
    <w:p w14:paraId="01568291" w14:textId="77777777"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Based on Sentinel-2 imagery, we employed automated water body identification combined with manual post-calibration to delineate flood inundated areas. Two Sentinel-2B satellite images were acquired on December 12 and 17, 2024 before and after GLOF and pre-processed to produce false-color composite imagery (combination of the bands 11, 8, and 3) for visual detection of the flood impact areas. Due to the turbid and lower reflectance of the streams after the flood, it is difficult to automatically extract the flood area using a Normalized Difference Water Index (NDWI) thus a modified normalized difference in water index (MNDWI)</w:t>
      </w:r>
      <w:r w:rsidRPr="00F21BBD">
        <w:rPr>
          <w:rFonts w:ascii="Times New Roman" w:eastAsia="等线" w:hAnsi="Times New Roman" w:cs="Times New Roman"/>
          <w:vertAlign w:val="superscript"/>
        </w:rPr>
        <w:t xml:space="preserve"> 18.</w:t>
      </w:r>
      <w:r w:rsidRPr="00F21BBD">
        <w:rPr>
          <w:rFonts w:ascii="Times New Roman" w:eastAsia="等线" w:hAnsi="Times New Roman" w:cs="Times New Roman"/>
        </w:rPr>
        <w:t>, which enhances water feature extraction by combining the green and short-wave infrared (SWIR) bands, is calculated to map the flood inundated area:</w:t>
      </w:r>
    </w:p>
    <w:p w14:paraId="6EDBB38A" w14:textId="77777777" w:rsidR="00AF66FC" w:rsidRPr="00F21BBD" w:rsidRDefault="00756235" w:rsidP="00AF66FC">
      <w:pPr>
        <w:jc w:val="both"/>
        <w:rPr>
          <w:rFonts w:ascii="Times New Roman" w:eastAsia="等线" w:hAnsi="Times New Roman" w:cs="Times New Roman"/>
        </w:rPr>
      </w:pPr>
      <m:oMathPara>
        <m:oMath>
          <m:eqArr>
            <m:eqArrPr>
              <m:maxDist m:val="1"/>
              <m:ctrlPr>
                <w:rPr>
                  <w:rFonts w:ascii="Cambria Math" w:eastAsia="等线" w:hAnsi="Cambria Math" w:cs="Times New Roman"/>
                  <w:sz w:val="16"/>
                  <w:szCs w:val="16"/>
                </w:rPr>
              </m:ctrlPr>
            </m:eqArrPr>
            <m:e>
              <m:r>
                <w:rPr>
                  <w:rFonts w:ascii="Cambria Math" w:eastAsia="等线" w:hAnsi="Cambria Math" w:cs="Times New Roman"/>
                  <w:sz w:val="16"/>
                  <w:szCs w:val="16"/>
                </w:rPr>
                <m:t>Sentinel</m:t>
              </m:r>
              <m:r>
                <w:rPr>
                  <w:rFonts w:ascii="Cambria Math" w:eastAsia="等线" w:hAnsi="Cambria Math" w:cs="Times New Roman"/>
                  <w:sz w:val="16"/>
                  <w:szCs w:val="16"/>
                </w:rPr>
                <m:t xml:space="preserve">_2 </m:t>
              </m:r>
              <m:r>
                <w:rPr>
                  <w:rFonts w:ascii="Cambria Math" w:eastAsia="等线" w:hAnsi="Cambria Math" w:cs="Times New Roman"/>
                  <w:sz w:val="16"/>
                  <w:szCs w:val="16"/>
                </w:rPr>
                <m:t>MNDWI</m:t>
              </m:r>
              <m:r>
                <w:rPr>
                  <w:rFonts w:ascii="Cambria Math" w:eastAsia="等线" w:hAnsi="Cambria Math" w:cs="Times New Roman"/>
                  <w:sz w:val="16"/>
                  <w:szCs w:val="16"/>
                </w:rPr>
                <m:t xml:space="preserve">= </m:t>
              </m:r>
              <m:f>
                <m:fPr>
                  <m:ctrlPr>
                    <w:rPr>
                      <w:rFonts w:ascii="Cambria Math" w:eastAsia="等线" w:hAnsi="Cambria Math" w:cs="Times New Roman"/>
                      <w:i/>
                      <w:sz w:val="16"/>
                      <w:szCs w:val="16"/>
                    </w:rPr>
                  </m:ctrlPr>
                </m:fPr>
                <m:num>
                  <m:d>
                    <m:dPr>
                      <m:ctrlPr>
                        <w:rPr>
                          <w:rFonts w:ascii="Cambria Math" w:eastAsia="等线" w:hAnsi="Cambria Math" w:cs="Times New Roman"/>
                          <w:i/>
                          <w:sz w:val="16"/>
                          <w:szCs w:val="16"/>
                        </w:rPr>
                      </m:ctrlPr>
                    </m:dPr>
                    <m:e>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03</m:t>
                          </m:r>
                        </m:sub>
                      </m:sSub>
                      <m:r>
                        <w:rPr>
                          <w:rFonts w:ascii="Cambria Math" w:eastAsia="等线" w:hAnsi="Cambria Math" w:cs="Times New Roman"/>
                          <w:sz w:val="16"/>
                          <w:szCs w:val="16"/>
                        </w:rPr>
                        <m:t>-</m:t>
                      </m:r>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11</m:t>
                          </m:r>
                        </m:sub>
                      </m:sSub>
                    </m:e>
                  </m:d>
                </m:num>
                <m:den>
                  <m:d>
                    <m:dPr>
                      <m:ctrlPr>
                        <w:rPr>
                          <w:rFonts w:ascii="Cambria Math" w:eastAsia="等线" w:hAnsi="Cambria Math" w:cs="Times New Roman"/>
                          <w:i/>
                          <w:sz w:val="16"/>
                          <w:szCs w:val="16"/>
                        </w:rPr>
                      </m:ctrlPr>
                    </m:dPr>
                    <m:e>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03</m:t>
                          </m:r>
                        </m:sub>
                      </m:sSub>
                      <m:r>
                        <w:rPr>
                          <w:rFonts w:ascii="Cambria Math" w:eastAsia="等线" w:hAnsi="Cambria Math" w:cs="Times New Roman"/>
                          <w:sz w:val="16"/>
                          <w:szCs w:val="16"/>
                        </w:rPr>
                        <m:t>+</m:t>
                      </m:r>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11</m:t>
                          </m:r>
                        </m:sub>
                      </m:sSub>
                    </m:e>
                  </m:d>
                </m:den>
              </m:f>
              <m:ctrlPr>
                <w:rPr>
                  <w:rFonts w:ascii="Cambria Math" w:eastAsia="等线" w:hAnsi="Cambria Math" w:cs="Times New Roman"/>
                  <w:i/>
                  <w:sz w:val="16"/>
                  <w:szCs w:val="16"/>
                </w:rPr>
              </m:ctrlPr>
            </m:e>
          </m:eqArr>
        </m:oMath>
      </m:oMathPara>
    </w:p>
    <w:p w14:paraId="7D839E2E" w14:textId="5C143A2D"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 xml:space="preserve">Using an automatic threshold segmentation method, a threshold of 0.15 was applied to distinguish between water (&gt;0.15) and non-water (≤0.15) areas. For the recognized MNDWI imagery, the water bodies were manually post-processed to correct for potential anomalies. Finally, the inundated area after the flood was mapped by change detection between the two MNDWI raster maps. We manually delineated a later boundary and the flood propagation path of the river channel, which was segmented at 2 km intervals to quantify flood inundated areas within each section. Elevation changes along the flood-propagation path were extracted from the </w:t>
      </w:r>
      <w:bookmarkStart w:id="4" w:name="OLE_LINK22"/>
      <w:r w:rsidRPr="00F21BBD">
        <w:rPr>
          <w:rFonts w:ascii="Times New Roman" w:eastAsia="等线" w:hAnsi="Times New Roman" w:cs="Times New Roman"/>
        </w:rPr>
        <w:t>HMA_DEM8m DEM</w:t>
      </w:r>
      <w:bookmarkEnd w:id="4"/>
      <w:r w:rsidRPr="00F21BBD">
        <w:rPr>
          <w:rFonts w:ascii="Times New Roman" w:eastAsia="等线" w:hAnsi="Times New Roman" w:cs="Times New Roman"/>
        </w:rPr>
        <w:t xml:space="preserve"> data</w:t>
      </w:r>
      <w:r w:rsidR="00F21BBD">
        <w:rPr>
          <w:rFonts w:ascii="Times New Roman" w:eastAsia="等线" w:hAnsi="Times New Roman" w:cs="Times New Roman" w:hint="eastAsia"/>
        </w:rPr>
        <w:t xml:space="preserve"> </w:t>
      </w:r>
      <w:r w:rsidR="00732F19" w:rsidRPr="00F21BBD">
        <w:rPr>
          <w:rFonts w:ascii="Times New Roman" w:eastAsia="等线" w:hAnsi="Times New Roman" w:cs="Times New Roman"/>
          <w:color w:val="0000FF"/>
        </w:rPr>
        <w:t>(Shean, 2017)</w:t>
      </w:r>
      <w:r w:rsidRPr="00F21BBD">
        <w:rPr>
          <w:rFonts w:ascii="Times New Roman" w:eastAsia="等线" w:hAnsi="Times New Roman" w:cs="Times New Roman"/>
        </w:rPr>
        <w:t>.</w:t>
      </w:r>
    </w:p>
    <w:p w14:paraId="4A10E3F2" w14:textId="77777777" w:rsidR="00CA7EED" w:rsidRPr="00F21BBD" w:rsidRDefault="00CA7EED" w:rsidP="00CA7EED">
      <w:pPr>
        <w:jc w:val="both"/>
        <w:outlineLvl w:val="1"/>
        <w:rPr>
          <w:rFonts w:ascii="Times New Roman" w:eastAsia="等线" w:hAnsi="Times New Roman" w:cs="Times New Roman"/>
          <w:b/>
          <w:bCs/>
        </w:rPr>
      </w:pPr>
      <w:bookmarkStart w:id="5" w:name="OLE_LINK10"/>
      <w:r w:rsidRPr="00F21BBD">
        <w:rPr>
          <w:rFonts w:ascii="Times New Roman" w:eastAsia="等线" w:hAnsi="Times New Roman" w:cs="Times New Roman"/>
          <w:b/>
          <w:bCs/>
        </w:rPr>
        <w:t xml:space="preserve">Detecting wetted area due to </w:t>
      </w:r>
      <w:bookmarkStart w:id="6" w:name="OLE_LINK27"/>
      <w:r w:rsidRPr="00F21BBD">
        <w:rPr>
          <w:rFonts w:ascii="Times New Roman" w:eastAsia="等线" w:hAnsi="Times New Roman" w:cs="Times New Roman"/>
          <w:b/>
          <w:bCs/>
        </w:rPr>
        <w:t>splashed ice</w:t>
      </w:r>
      <w:bookmarkEnd w:id="6"/>
      <w:r w:rsidRPr="00F21BBD">
        <w:rPr>
          <w:rFonts w:ascii="Times New Roman" w:eastAsia="等线" w:hAnsi="Times New Roman" w:cs="Times New Roman"/>
          <w:b/>
          <w:bCs/>
        </w:rPr>
        <w:t xml:space="preserve"> around the moraine complex</w:t>
      </w:r>
      <w:bookmarkEnd w:id="5"/>
    </w:p>
    <w:p w14:paraId="0505A3BE" w14:textId="77777777" w:rsidR="00CA7EED" w:rsidRPr="00F21BBD" w:rsidRDefault="00CA7EED" w:rsidP="00CA7EED">
      <w:pPr>
        <w:jc w:val="both"/>
        <w:rPr>
          <w:rFonts w:ascii="Times New Roman" w:eastAsia="等线" w:hAnsi="Times New Roman" w:cs="Times New Roman"/>
        </w:rPr>
      </w:pPr>
      <w:r w:rsidRPr="00F21BBD">
        <w:rPr>
          <w:rFonts w:ascii="Times New Roman" w:eastAsia="等线" w:hAnsi="Times New Roman" w:cs="Times New Roman"/>
        </w:rPr>
        <w:t>Normalized Difference Moisture Index (NDMI) derived from Sentinel-2 images was used to map the wetted area by splashed ice around the moraine complex (Figure 1). The NDMI is a normalized difference moisture index that uses NIR and SWIR bands to display moisture, which is computed using the near infrared (NIR) and the short-wave infrared (SWIR) reflectance:</w:t>
      </w:r>
    </w:p>
    <w:p w14:paraId="446767EC" w14:textId="77777777" w:rsidR="00CA7EED" w:rsidRPr="00F21BBD" w:rsidRDefault="00756235" w:rsidP="00CA7EED">
      <w:pPr>
        <w:jc w:val="both"/>
        <w:rPr>
          <w:rFonts w:ascii="Times New Roman" w:eastAsia="等线" w:hAnsi="Times New Roman" w:cs="Times New Roman"/>
        </w:rPr>
      </w:pPr>
      <m:oMathPara>
        <m:oMath>
          <m:eqArr>
            <m:eqArrPr>
              <m:maxDist m:val="1"/>
              <m:ctrlPr>
                <w:rPr>
                  <w:rFonts w:ascii="Cambria Math" w:eastAsia="等线" w:hAnsi="Cambria Math" w:cs="Times New Roman"/>
                  <w:sz w:val="16"/>
                  <w:szCs w:val="16"/>
                </w:rPr>
              </m:ctrlPr>
            </m:eqArrPr>
            <m:e>
              <m:r>
                <w:rPr>
                  <w:rFonts w:ascii="Cambria Math" w:eastAsia="等线" w:hAnsi="Cambria Math" w:cs="Times New Roman"/>
                  <w:sz w:val="16"/>
                  <w:szCs w:val="16"/>
                </w:rPr>
                <m:t>Sentinel</m:t>
              </m:r>
              <m:r>
                <w:rPr>
                  <w:rFonts w:ascii="Cambria Math" w:eastAsia="等线" w:hAnsi="Cambria Math" w:cs="Times New Roman"/>
                  <w:sz w:val="16"/>
                  <w:szCs w:val="16"/>
                </w:rPr>
                <m:t xml:space="preserve">_2 </m:t>
              </m:r>
              <m:r>
                <w:rPr>
                  <w:rFonts w:ascii="Cambria Math" w:eastAsia="等线" w:hAnsi="Cambria Math" w:cs="Times New Roman"/>
                  <w:sz w:val="16"/>
                  <w:szCs w:val="16"/>
                </w:rPr>
                <m:t>NDMI</m:t>
              </m:r>
              <m:r>
                <w:rPr>
                  <w:rFonts w:ascii="Cambria Math" w:eastAsia="等线" w:hAnsi="Cambria Math" w:cs="Times New Roman"/>
                  <w:sz w:val="16"/>
                  <w:szCs w:val="16"/>
                </w:rPr>
                <m:t xml:space="preserve">= </m:t>
              </m:r>
              <m:f>
                <m:fPr>
                  <m:ctrlPr>
                    <w:rPr>
                      <w:rFonts w:ascii="Cambria Math" w:eastAsia="等线" w:hAnsi="Cambria Math" w:cs="Times New Roman"/>
                      <w:i/>
                      <w:sz w:val="16"/>
                      <w:szCs w:val="16"/>
                    </w:rPr>
                  </m:ctrlPr>
                </m:fPr>
                <m:num>
                  <m:d>
                    <m:dPr>
                      <m:ctrlPr>
                        <w:rPr>
                          <w:rFonts w:ascii="Cambria Math" w:eastAsia="等线" w:hAnsi="Cambria Math" w:cs="Times New Roman"/>
                          <w:i/>
                          <w:sz w:val="16"/>
                          <w:szCs w:val="16"/>
                        </w:rPr>
                      </m:ctrlPr>
                    </m:dPr>
                    <m:e>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08</m:t>
                          </m:r>
                        </m:sub>
                      </m:sSub>
                      <m:r>
                        <w:rPr>
                          <w:rFonts w:ascii="Cambria Math" w:eastAsia="等线" w:hAnsi="Cambria Math" w:cs="Times New Roman"/>
                          <w:sz w:val="16"/>
                          <w:szCs w:val="16"/>
                        </w:rPr>
                        <m:t>-</m:t>
                      </m:r>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11</m:t>
                          </m:r>
                        </m:sub>
                      </m:sSub>
                    </m:e>
                  </m:d>
                </m:num>
                <m:den>
                  <m:d>
                    <m:dPr>
                      <m:ctrlPr>
                        <w:rPr>
                          <w:rFonts w:ascii="Cambria Math" w:eastAsia="等线" w:hAnsi="Cambria Math" w:cs="Times New Roman"/>
                          <w:i/>
                          <w:sz w:val="16"/>
                          <w:szCs w:val="16"/>
                        </w:rPr>
                      </m:ctrlPr>
                    </m:dPr>
                    <m:e>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08</m:t>
                          </m:r>
                        </m:sub>
                      </m:sSub>
                      <m:r>
                        <w:rPr>
                          <w:rFonts w:ascii="Cambria Math" w:eastAsia="等线" w:hAnsi="Cambria Math" w:cs="Times New Roman"/>
                          <w:sz w:val="16"/>
                          <w:szCs w:val="16"/>
                        </w:rPr>
                        <m:t>+</m:t>
                      </m:r>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Band</m:t>
                          </m:r>
                        </m:e>
                        <m:sub>
                          <m:r>
                            <w:rPr>
                              <w:rFonts w:ascii="Cambria Math" w:eastAsia="等线" w:hAnsi="Cambria Math" w:cs="Times New Roman"/>
                              <w:sz w:val="16"/>
                              <w:szCs w:val="16"/>
                            </w:rPr>
                            <m:t>11</m:t>
                          </m:r>
                        </m:sub>
                      </m:sSub>
                    </m:e>
                  </m:d>
                </m:den>
              </m:f>
              <m:ctrlPr>
                <w:rPr>
                  <w:rFonts w:ascii="Cambria Math" w:eastAsia="等线" w:hAnsi="Cambria Math" w:cs="Times New Roman"/>
                  <w:i/>
                  <w:sz w:val="16"/>
                  <w:szCs w:val="16"/>
                </w:rPr>
              </m:ctrlPr>
            </m:e>
          </m:eqArr>
        </m:oMath>
      </m:oMathPara>
    </w:p>
    <w:p w14:paraId="4E0A8F8B" w14:textId="77777777" w:rsidR="00CA7EED" w:rsidRPr="00F21BBD" w:rsidRDefault="00CA7EED" w:rsidP="00CA7EED">
      <w:pPr>
        <w:jc w:val="both"/>
        <w:rPr>
          <w:rFonts w:ascii="Times New Roman" w:eastAsia="等线" w:hAnsi="Times New Roman" w:cs="Times New Roman"/>
        </w:rPr>
      </w:pPr>
      <w:r w:rsidRPr="00F21BBD">
        <w:rPr>
          <w:rFonts w:ascii="Times New Roman" w:eastAsia="等线" w:hAnsi="Times New Roman" w:cs="Times New Roman"/>
        </w:rPr>
        <w:t xml:space="preserve">The NDMI was specifically designed to detect moisture content in vegetation and soil, making it ideal for monitoring wetness along river or lake banks. The splashed ice on the bare and dry moraine would result in a higher and comparable moisture index than area without impact by the ice. Therefore, by comparing NDMIs before and after the event, the outburst ice tsunami impacted areas could be easily detected. NDMIs were calculated from the Sentinel-2 images acquired on 12 and 17 December 2024, which were the nearest two acquisitions before and after the GLOF respectively. Then, the splashed ice impacted areas were mapped by </w:t>
      </w:r>
      <w:bookmarkStart w:id="7" w:name="OLE_LINK1"/>
      <w:r w:rsidRPr="00F21BBD">
        <w:rPr>
          <w:rFonts w:ascii="Times New Roman" w:eastAsia="等线" w:hAnsi="Times New Roman" w:cs="Times New Roman"/>
        </w:rPr>
        <w:t xml:space="preserve">change detection visually and delineated manually between these two </w:t>
      </w:r>
      <w:bookmarkStart w:id="8" w:name="OLE_LINK25"/>
      <w:r w:rsidRPr="00F21BBD">
        <w:rPr>
          <w:rFonts w:ascii="Times New Roman" w:eastAsia="等线" w:hAnsi="Times New Roman" w:cs="Times New Roman"/>
        </w:rPr>
        <w:t>NDMI</w:t>
      </w:r>
      <w:bookmarkEnd w:id="7"/>
      <w:bookmarkEnd w:id="8"/>
      <w:r w:rsidRPr="00F21BBD">
        <w:rPr>
          <w:rFonts w:ascii="Times New Roman" w:eastAsia="等线" w:hAnsi="Times New Roman" w:cs="Times New Roman"/>
        </w:rPr>
        <w:t xml:space="preserve"> raster maps.</w:t>
      </w:r>
    </w:p>
    <w:p w14:paraId="3D58496A" w14:textId="77777777" w:rsidR="00AF66FC" w:rsidRPr="00F21BBD" w:rsidRDefault="00AF66FC" w:rsidP="00AF66FC">
      <w:pPr>
        <w:jc w:val="both"/>
        <w:outlineLvl w:val="1"/>
        <w:rPr>
          <w:rFonts w:ascii="Times New Roman" w:eastAsia="等线" w:hAnsi="Times New Roman" w:cs="Times New Roman"/>
          <w:b/>
          <w:bCs/>
        </w:rPr>
      </w:pPr>
      <w:r w:rsidRPr="00F21BBD">
        <w:rPr>
          <w:rFonts w:ascii="Times New Roman" w:eastAsia="等线" w:hAnsi="Times New Roman" w:cs="Times New Roman"/>
          <w:b/>
          <w:bCs/>
        </w:rPr>
        <w:lastRenderedPageBreak/>
        <w:t xml:space="preserve">Rock avalanche volume estimation using UAV DEMs </w:t>
      </w:r>
    </w:p>
    <w:p w14:paraId="7F054756" w14:textId="77777777"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 xml:space="preserve">Repeat ground surveys of the Pida and Longbasaba glacial lakes on 8 September 2024 and 12 September 2025 employed a DJI Mavic 3E Real-Time Kinematic (DJI M3E with RTK) drone to map the area. The DJI M3E is equipped with a 20-megapixel wide-angle </w:t>
      </w:r>
      <w:proofErr w:type="gramStart"/>
      <w:r w:rsidRPr="00F21BBD">
        <w:rPr>
          <w:rFonts w:ascii="Times New Roman" w:eastAsia="等线" w:hAnsi="Times New Roman" w:cs="Times New Roman"/>
        </w:rPr>
        <w:t>camera</w:t>
      </w:r>
      <w:proofErr w:type="gramEnd"/>
      <w:r w:rsidRPr="00F21BBD">
        <w:rPr>
          <w:rFonts w:ascii="Times New Roman" w:eastAsia="等线" w:hAnsi="Times New Roman" w:cs="Times New Roman"/>
        </w:rPr>
        <w:t xml:space="preserve"> and both the two flight missions were planned with 85% forward and 70% side overlap operated at the flight height of 600 m above the takeoff point. Because the Pida glacier site has no active cellular network coverage to solve RTKs , the photo POS (Position and Orientation System) information of aerial surveys was performed using a single-point offline RTK positioning mode, which achieved horizontal accuracy better than 2 cm and a vertical accuracy better than 3 cm. Total of 350 and 282 imagery were acquired, for the 2024 and 2025 missions respectively, and processed in DJI Terra to generate DOMs (digital orthophoto map) and DSMs (digital surface model) of the survey area. These two derived high-resolution DOMs and DEMs were then used for high-accurate delineation of the extent of the scar area and estimation of the collapsed volume of the rockfall.</w:t>
      </w:r>
    </w:p>
    <w:p w14:paraId="088EBAA9" w14:textId="19DD035B"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To estimate the volume of the rockfall mass, surface elevation changes were calculated by differentiating the two DSMs. Accurate spatial alignment of the DSMs is essential; therefore, the DSM co-registration and a bias-correction method</w:t>
      </w:r>
      <w:r w:rsidR="00F21BBD">
        <w:rPr>
          <w:rFonts w:ascii="Times New Roman" w:eastAsia="等线" w:hAnsi="Times New Roman" w:cs="Times New Roman" w:hint="eastAsia"/>
        </w:rPr>
        <w:t xml:space="preserve"> </w:t>
      </w:r>
      <w:r w:rsidR="00732F19" w:rsidRPr="00F21BBD">
        <w:rPr>
          <w:rFonts w:ascii="Times New Roman" w:eastAsia="等线" w:hAnsi="Times New Roman" w:cs="Times New Roman"/>
          <w:color w:val="0000FF"/>
          <w:kern w:val="0"/>
        </w:rPr>
        <w:t xml:space="preserve">(Nuth and </w:t>
      </w:r>
      <w:proofErr w:type="spellStart"/>
      <w:r w:rsidR="00732F19" w:rsidRPr="00F21BBD">
        <w:rPr>
          <w:rFonts w:ascii="Times New Roman" w:eastAsia="等线" w:hAnsi="Times New Roman" w:cs="Times New Roman"/>
          <w:color w:val="0000FF"/>
          <w:kern w:val="0"/>
        </w:rPr>
        <w:t>Kääb</w:t>
      </w:r>
      <w:proofErr w:type="spellEnd"/>
      <w:r w:rsidR="00732F19" w:rsidRPr="00F21BBD">
        <w:rPr>
          <w:rFonts w:ascii="Times New Roman" w:eastAsia="等线" w:hAnsi="Times New Roman" w:cs="Times New Roman"/>
          <w:color w:val="0000FF"/>
          <w:kern w:val="0"/>
        </w:rPr>
        <w:t>, 2011)</w:t>
      </w:r>
      <w:r w:rsidRPr="00F21BBD">
        <w:rPr>
          <w:rFonts w:ascii="Times New Roman" w:eastAsia="等线" w:hAnsi="Times New Roman" w:cs="Times New Roman"/>
        </w:rPr>
        <w:t xml:space="preserve"> implemented in Python was applied prior to differencing. This method iteratively solves horizontal and vertical biases by analyzing the linear relationship between slope aspect and elevation differences, yielding sub-pixel co-registration accuracy. To assess uncertainty in elevation, change estimates, more than 100000 pixels in stable ice-free terrain were analyzed, which gave a mean elevation difference in these areas was 1.20 ± 0.65 m.</w:t>
      </w:r>
    </w:p>
    <w:p w14:paraId="669BA827" w14:textId="77777777"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The rockfall volume was obtained by integrating the negative elevation changes in the scar domain:</w:t>
      </w:r>
    </w:p>
    <w:p w14:paraId="7C8EDA4C" w14:textId="77777777" w:rsidR="00AF66FC" w:rsidRPr="00F21BBD" w:rsidRDefault="00AF66FC" w:rsidP="00AF66FC">
      <w:pPr>
        <w:jc w:val="both"/>
        <w:rPr>
          <w:rFonts w:ascii="Times New Roman" w:eastAsia="等线" w:hAnsi="Times New Roman" w:cs="Times New Roman"/>
          <w:sz w:val="16"/>
          <w:szCs w:val="16"/>
        </w:rPr>
      </w:pPr>
      <m:oMathPara>
        <m:oMath>
          <m:r>
            <w:rPr>
              <w:rFonts w:ascii="Cambria Math" w:eastAsia="等线" w:hAnsi="Cambria Math" w:cs="Times New Roman"/>
              <w:sz w:val="16"/>
              <w:szCs w:val="16"/>
            </w:rPr>
            <m:t>V</m:t>
          </m:r>
          <m:r>
            <m:rPr>
              <m:sty m:val="p"/>
            </m:rPr>
            <w:rPr>
              <w:rFonts w:ascii="Cambria Math" w:eastAsia="等线" w:hAnsi="Cambria Math" w:cs="Times New Roman"/>
              <w:sz w:val="16"/>
              <w:szCs w:val="16"/>
            </w:rPr>
            <m:t>=</m:t>
          </m:r>
          <m:nary>
            <m:naryPr>
              <m:chr m:val="∑"/>
              <m:limLoc m:val="undOvr"/>
              <m:ctrlPr>
                <w:rPr>
                  <w:rFonts w:ascii="Cambria Math" w:eastAsia="等线" w:hAnsi="Cambria Math" w:cs="Times New Roman"/>
                  <w:sz w:val="16"/>
                  <w:szCs w:val="16"/>
                </w:rPr>
              </m:ctrlPr>
            </m:naryPr>
            <m:sub>
              <m:r>
                <w:rPr>
                  <w:rFonts w:ascii="Cambria Math" w:eastAsia="等线" w:hAnsi="Cambria Math" w:cs="Times New Roman"/>
                  <w:sz w:val="16"/>
                  <w:szCs w:val="16"/>
                </w:rPr>
                <m:t>i</m:t>
              </m:r>
              <m:r>
                <m:rPr>
                  <m:sty m:val="p"/>
                </m:rPr>
                <w:rPr>
                  <w:rFonts w:ascii="Cambria Math" w:eastAsia="等线" w:hAnsi="Cambria Math" w:cs="Times New Roman"/>
                  <w:sz w:val="16"/>
                  <w:szCs w:val="16"/>
                </w:rPr>
                <m:t>=1</m:t>
              </m:r>
            </m:sub>
            <m:sup>
              <m:r>
                <w:rPr>
                  <w:rFonts w:ascii="Cambria Math" w:eastAsia="等线" w:hAnsi="Cambria Math" w:cs="Times New Roman"/>
                  <w:sz w:val="16"/>
                  <w:szCs w:val="16"/>
                </w:rPr>
                <m:t>n</m:t>
              </m:r>
            </m:sup>
            <m:e>
              <m:r>
                <m:rPr>
                  <m:sty m:val="p"/>
                </m:rPr>
                <w:rPr>
                  <w:rFonts w:ascii="Cambria Math" w:eastAsia="等线" w:hAnsi="Cambria Math" w:cs="Times New Roman"/>
                  <w:sz w:val="16"/>
                  <w:szCs w:val="16"/>
                </w:rPr>
                <m:t>(</m:t>
              </m:r>
              <m:d>
                <m:dPr>
                  <m:begChr m:val="|"/>
                  <m:endChr m:val="|"/>
                  <m:ctrlPr>
                    <w:rPr>
                      <w:rFonts w:ascii="Cambria Math" w:eastAsia="等线" w:hAnsi="Cambria Math" w:cs="Times New Roman"/>
                      <w:sz w:val="16"/>
                      <w:szCs w:val="16"/>
                    </w:rPr>
                  </m:ctrlPr>
                </m:dPr>
                <m:e>
                  <m:r>
                    <w:rPr>
                      <w:rFonts w:ascii="Cambria Math" w:eastAsia="等线" w:hAnsi="Cambria Math" w:cs="Times New Roman"/>
                      <w:sz w:val="16"/>
                      <w:szCs w:val="16"/>
                    </w:rPr>
                    <m:t>d</m:t>
                  </m:r>
                  <m:sSub>
                    <m:sSubPr>
                      <m:ctrlPr>
                        <w:rPr>
                          <w:rFonts w:ascii="Cambria Math" w:eastAsia="等线" w:hAnsi="Cambria Math" w:cs="Times New Roman"/>
                          <w:sz w:val="16"/>
                          <w:szCs w:val="16"/>
                        </w:rPr>
                      </m:ctrlPr>
                    </m:sSubPr>
                    <m:e>
                      <m:r>
                        <w:rPr>
                          <w:rFonts w:ascii="Cambria Math" w:eastAsia="等线" w:hAnsi="Cambria Math" w:cs="Times New Roman"/>
                          <w:sz w:val="16"/>
                          <w:szCs w:val="16"/>
                        </w:rPr>
                        <m:t>H</m:t>
                      </m:r>
                    </m:e>
                    <m:sub>
                      <m:r>
                        <w:rPr>
                          <w:rFonts w:ascii="Cambria Math" w:eastAsia="等线" w:hAnsi="Cambria Math" w:cs="Times New Roman"/>
                          <w:sz w:val="16"/>
                          <w:szCs w:val="16"/>
                        </w:rPr>
                        <m:t>i</m:t>
                      </m:r>
                    </m:sub>
                  </m:sSub>
                </m:e>
              </m:d>
              <m:r>
                <m:rPr>
                  <m:sty m:val="p"/>
                </m:rPr>
                <w:rPr>
                  <w:rFonts w:ascii="Cambria Math" w:eastAsia="等线" w:hAnsi="Cambria Math" w:cs="Times New Roman"/>
                  <w:sz w:val="16"/>
                  <w:szCs w:val="16"/>
                </w:rPr>
                <m:t>×</m:t>
              </m:r>
              <m:r>
                <w:rPr>
                  <w:rFonts w:ascii="Cambria Math" w:eastAsia="等线" w:hAnsi="Cambria Math" w:cs="Times New Roman"/>
                  <w:sz w:val="16"/>
                  <w:szCs w:val="16"/>
                </w:rPr>
                <m:t>A</m:t>
              </m:r>
              <m:r>
                <m:rPr>
                  <m:sty m:val="p"/>
                </m:rPr>
                <w:rPr>
                  <w:rFonts w:ascii="Cambria Math" w:eastAsia="等线" w:hAnsi="Cambria Math" w:cs="Times New Roman"/>
                  <w:sz w:val="16"/>
                  <w:szCs w:val="16"/>
                </w:rPr>
                <m:t>)</m:t>
              </m:r>
            </m:e>
          </m:nary>
        </m:oMath>
      </m:oMathPara>
    </w:p>
    <w:p w14:paraId="0F5998AA" w14:textId="77777777"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 xml:space="preserve">where </w:t>
      </w:r>
      <m:oMath>
        <m:r>
          <w:rPr>
            <w:rFonts w:ascii="Cambria Math" w:eastAsia="等线" w:hAnsi="Cambria Math" w:cs="Times New Roman"/>
          </w:rPr>
          <m:t>d</m:t>
        </m:r>
        <m:sSub>
          <m:sSubPr>
            <m:ctrlPr>
              <w:rPr>
                <w:rFonts w:ascii="Cambria Math" w:eastAsia="等线" w:hAnsi="Cambria Math" w:cs="Times New Roman"/>
              </w:rPr>
            </m:ctrlPr>
          </m:sSubPr>
          <m:e>
            <m:r>
              <w:rPr>
                <w:rFonts w:ascii="Cambria Math" w:eastAsia="等线" w:hAnsi="Cambria Math" w:cs="Times New Roman"/>
              </w:rPr>
              <m:t>H</m:t>
            </m:r>
          </m:e>
          <m:sub>
            <m:r>
              <w:rPr>
                <w:rFonts w:ascii="Cambria Math" w:eastAsia="等线" w:hAnsi="Cambria Math" w:cs="Times New Roman"/>
              </w:rPr>
              <m:t>i</m:t>
            </m:r>
          </m:sub>
        </m:sSub>
        <m:r>
          <w:rPr>
            <w:rFonts w:ascii="Cambria Math" w:eastAsia="等线" w:hAnsi="Cambria Math" w:cs="Times New Roman"/>
          </w:rPr>
          <m:t xml:space="preserve"> </m:t>
        </m:r>
      </m:oMath>
      <w:r w:rsidRPr="00F21BBD">
        <w:rPr>
          <w:rFonts w:ascii="Times New Roman" w:eastAsia="等线" w:hAnsi="Times New Roman" w:cs="Times New Roman"/>
        </w:rPr>
        <w:t xml:space="preserve">is the elevation loss at pixel </w:t>
      </w:r>
      <m:oMath>
        <m:r>
          <w:rPr>
            <w:rFonts w:ascii="Cambria Math" w:eastAsia="等线" w:hAnsi="Cambria Math" w:cs="Times New Roman"/>
          </w:rPr>
          <m:t>i</m:t>
        </m:r>
      </m:oMath>
      <w:r w:rsidRPr="00F21BBD">
        <w:rPr>
          <w:rFonts w:ascii="Times New Roman" w:eastAsia="等线" w:hAnsi="Times New Roman" w:cs="Times New Roman"/>
        </w:rPr>
        <w:t xml:space="preserve">, </w:t>
      </w:r>
      <m:oMath>
        <m:r>
          <w:rPr>
            <w:rFonts w:ascii="Cambria Math" w:eastAsia="等线" w:hAnsi="Cambria Math" w:cs="Times New Roman"/>
          </w:rPr>
          <m:t>A</m:t>
        </m:r>
      </m:oMath>
      <w:r w:rsidRPr="00F21BBD">
        <w:rPr>
          <w:rFonts w:ascii="Times New Roman" w:eastAsia="等线" w:hAnsi="Times New Roman" w:cs="Times New Roman"/>
        </w:rPr>
        <w:t xml:space="preserve"> is the pixel area, and </w:t>
      </w:r>
      <m:oMath>
        <m:r>
          <w:rPr>
            <w:rFonts w:ascii="Cambria Math" w:eastAsia="等线" w:hAnsi="Cambria Math" w:cs="Times New Roman"/>
          </w:rPr>
          <m:t>n</m:t>
        </m:r>
      </m:oMath>
      <w:r w:rsidRPr="00F21BBD">
        <w:rPr>
          <w:rFonts w:ascii="Times New Roman" w:eastAsia="等线" w:hAnsi="Times New Roman" w:cs="Times New Roman"/>
        </w:rPr>
        <w:t xml:space="preserve"> is the total number of pixels in the source region. Following error propagation theory, the uncertainty of the estimated volume is estimated by:</w:t>
      </w:r>
    </w:p>
    <w:p w14:paraId="7B425964" w14:textId="77777777" w:rsidR="00AF66FC" w:rsidRPr="00F21BBD" w:rsidRDefault="00756235" w:rsidP="00AF66FC">
      <w:pPr>
        <w:jc w:val="both"/>
        <w:rPr>
          <w:rFonts w:ascii="Times New Roman" w:eastAsia="等线" w:hAnsi="Times New Roman" w:cs="Times New Roman"/>
          <w:sz w:val="16"/>
          <w:szCs w:val="16"/>
        </w:rPr>
      </w:pPr>
      <m:oMathPara>
        <m:oMath>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σ</m:t>
              </m:r>
            </m:e>
            <m:sub>
              <m:r>
                <w:rPr>
                  <w:rFonts w:ascii="Cambria Math" w:eastAsia="等线" w:hAnsi="Cambria Math" w:cs="Times New Roman"/>
                  <w:sz w:val="16"/>
                  <w:szCs w:val="16"/>
                </w:rPr>
                <m:t>V</m:t>
              </m:r>
            </m:sub>
          </m:sSub>
          <m:r>
            <w:rPr>
              <w:rFonts w:ascii="Cambria Math" w:eastAsia="等线" w:hAnsi="Cambria Math" w:cs="Times New Roman"/>
              <w:sz w:val="16"/>
              <w:szCs w:val="16"/>
            </w:rPr>
            <m:t>=</m:t>
          </m:r>
          <m:sSub>
            <m:sSubPr>
              <m:ctrlPr>
                <w:rPr>
                  <w:rFonts w:ascii="Cambria Math" w:eastAsia="等线" w:hAnsi="Cambria Math" w:cs="Times New Roman"/>
                  <w:i/>
                  <w:sz w:val="16"/>
                  <w:szCs w:val="16"/>
                </w:rPr>
              </m:ctrlPr>
            </m:sSubPr>
            <m:e>
              <m:r>
                <w:rPr>
                  <w:rFonts w:ascii="Cambria Math" w:eastAsia="等线" w:hAnsi="Cambria Math" w:cs="Times New Roman"/>
                  <w:sz w:val="16"/>
                  <w:szCs w:val="16"/>
                </w:rPr>
                <m:t>σ</m:t>
              </m:r>
            </m:e>
            <m:sub>
              <m:r>
                <w:rPr>
                  <w:rFonts w:ascii="Cambria Math" w:eastAsia="等线" w:hAnsi="Cambria Math" w:cs="Times New Roman"/>
                  <w:sz w:val="16"/>
                  <w:szCs w:val="16"/>
                </w:rPr>
                <m:t>dH</m:t>
              </m:r>
            </m:sub>
          </m:sSub>
          <m:r>
            <w:rPr>
              <w:rFonts w:ascii="Cambria Math" w:eastAsia="等线" w:hAnsi="Cambria Math" w:cs="Times New Roman"/>
              <w:sz w:val="16"/>
              <w:szCs w:val="16"/>
            </w:rPr>
            <m:t>×</m:t>
          </m:r>
          <m:r>
            <w:rPr>
              <w:rFonts w:ascii="Cambria Math" w:eastAsia="等线" w:hAnsi="Cambria Math" w:cs="Times New Roman"/>
              <w:sz w:val="16"/>
              <w:szCs w:val="16"/>
            </w:rPr>
            <m:t>A</m:t>
          </m:r>
          <m:r>
            <w:rPr>
              <w:rFonts w:ascii="Cambria Math" w:eastAsia="等线" w:hAnsi="Cambria Math" w:cs="Times New Roman"/>
              <w:sz w:val="16"/>
              <w:szCs w:val="16"/>
            </w:rPr>
            <m:t>×</m:t>
          </m:r>
          <m:rad>
            <m:radPr>
              <m:degHide m:val="1"/>
              <m:ctrlPr>
                <w:rPr>
                  <w:rFonts w:ascii="Cambria Math" w:eastAsia="等线" w:hAnsi="Cambria Math" w:cs="Times New Roman"/>
                  <w:i/>
                  <w:sz w:val="16"/>
                  <w:szCs w:val="16"/>
                </w:rPr>
              </m:ctrlPr>
            </m:radPr>
            <m:deg/>
            <m:e>
              <m:r>
                <w:rPr>
                  <w:rFonts w:ascii="Cambria Math" w:eastAsia="等线" w:hAnsi="Cambria Math" w:cs="Times New Roman"/>
                  <w:sz w:val="16"/>
                  <w:szCs w:val="16"/>
                </w:rPr>
                <m:t>n</m:t>
              </m:r>
            </m:e>
          </m:rad>
        </m:oMath>
      </m:oMathPara>
    </w:p>
    <w:p w14:paraId="3B6C54E7" w14:textId="77777777" w:rsidR="00AF66FC" w:rsidRPr="00F21BBD" w:rsidRDefault="00AF66FC" w:rsidP="00AF66FC">
      <w:pPr>
        <w:jc w:val="both"/>
        <w:rPr>
          <w:rFonts w:ascii="Times New Roman" w:eastAsia="等线" w:hAnsi="Times New Roman" w:cs="Times New Roman"/>
        </w:rPr>
      </w:pPr>
      <w:r w:rsidRPr="00F21BBD">
        <w:rPr>
          <w:rFonts w:ascii="Times New Roman" w:eastAsia="等线" w:hAnsi="Times New Roman" w:cs="Times New Roman"/>
        </w:rPr>
        <w:t xml:space="preserve">where </w:t>
      </w:r>
      <m:oMath>
        <m:sSub>
          <m:sSubPr>
            <m:ctrlPr>
              <w:rPr>
                <w:rFonts w:ascii="Cambria Math" w:eastAsia="等线" w:hAnsi="Cambria Math" w:cs="Times New Roman"/>
              </w:rPr>
            </m:ctrlPr>
          </m:sSubPr>
          <m:e>
            <m:r>
              <w:rPr>
                <w:rFonts w:ascii="Cambria Math" w:eastAsia="等线" w:hAnsi="Cambria Math" w:cs="Times New Roman"/>
              </w:rPr>
              <m:t>σ</m:t>
            </m:r>
          </m:e>
          <m:sub>
            <m:r>
              <w:rPr>
                <w:rFonts w:ascii="Cambria Math" w:eastAsia="等线" w:hAnsi="Cambria Math" w:cs="Times New Roman"/>
              </w:rPr>
              <m:t>dH</m:t>
            </m:r>
          </m:sub>
        </m:sSub>
      </m:oMath>
      <w:r w:rsidRPr="00F21BBD">
        <w:rPr>
          <w:rFonts w:ascii="Times New Roman" w:eastAsia="等线" w:hAnsi="Times New Roman" w:cs="Times New Roman"/>
        </w:rPr>
        <w:t xml:space="preserve"> is the standard deviation of elevation differences in stable terrain, </w:t>
      </w:r>
      <m:oMath>
        <m:r>
          <w:rPr>
            <w:rFonts w:ascii="Cambria Math" w:eastAsia="等线" w:hAnsi="Cambria Math" w:cs="Times New Roman"/>
          </w:rPr>
          <m:t>n</m:t>
        </m:r>
      </m:oMath>
      <w:r w:rsidRPr="00F21BBD">
        <w:rPr>
          <w:rFonts w:ascii="Times New Roman" w:eastAsia="等线" w:hAnsi="Times New Roman" w:cs="Times New Roman"/>
        </w:rPr>
        <w:t xml:space="preserve"> is the pixel count of the source area, and </w:t>
      </w:r>
      <m:oMath>
        <m:r>
          <w:rPr>
            <w:rFonts w:ascii="Cambria Math" w:eastAsia="等线" w:hAnsi="Cambria Math" w:cs="Times New Roman"/>
          </w:rPr>
          <m:t>A</m:t>
        </m:r>
      </m:oMath>
      <w:r w:rsidRPr="00F21BBD">
        <w:rPr>
          <w:rFonts w:ascii="Times New Roman" w:eastAsia="等线" w:hAnsi="Times New Roman" w:cs="Times New Roman"/>
        </w:rPr>
        <w:t xml:space="preserve"> is the pixel area. The resulting volume uncertainty is approximately </w:t>
      </w:r>
      <w:bookmarkStart w:id="9" w:name="OLE_LINK31"/>
      <w:r w:rsidRPr="00F21BBD">
        <w:rPr>
          <w:rFonts w:ascii="Times New Roman" w:eastAsia="等线" w:hAnsi="Times New Roman" w:cs="Times New Roman"/>
        </w:rPr>
        <w:t>±0.05</w:t>
      </w:r>
      <w:bookmarkEnd w:id="9"/>
      <w:r w:rsidRPr="00F21BBD">
        <w:rPr>
          <w:rFonts w:ascii="Times New Roman" w:eastAsia="等线" w:hAnsi="Times New Roman" w:cs="Times New Roman"/>
        </w:rPr>
        <w:t xml:space="preserve"> Mm</w:t>
      </w:r>
      <w:proofErr w:type="gramStart"/>
      <w:r w:rsidRPr="00F21BBD">
        <w:rPr>
          <w:rFonts w:ascii="Times New Roman" w:eastAsia="等线" w:hAnsi="Times New Roman" w:cs="Times New Roman"/>
          <w:vertAlign w:val="superscript"/>
        </w:rPr>
        <w:t>3</w:t>
      </w:r>
      <w:r w:rsidRPr="00F21BBD">
        <w:rPr>
          <w:rFonts w:ascii="Times New Roman" w:eastAsia="等线" w:hAnsi="Times New Roman" w:cs="Times New Roman"/>
        </w:rPr>
        <w:t xml:space="preserve"> ,</w:t>
      </w:r>
      <w:proofErr w:type="gramEnd"/>
      <w:r w:rsidRPr="00F21BBD">
        <w:rPr>
          <w:rFonts w:ascii="Times New Roman" w:eastAsia="等线" w:hAnsi="Times New Roman" w:cs="Times New Roman"/>
        </w:rPr>
        <w:t xml:space="preserve"> which represents a very small fraction of the total failed volume, indicating that the volumetric estimates are highly reliable.</w:t>
      </w:r>
    </w:p>
    <w:p w14:paraId="5B63843F" w14:textId="77777777" w:rsidR="001C4A79" w:rsidRPr="00F21BBD" w:rsidRDefault="001C4A79" w:rsidP="00AF66FC">
      <w:pPr>
        <w:jc w:val="both"/>
        <w:rPr>
          <w:rFonts w:ascii="Times New Roman" w:eastAsia="等线" w:hAnsi="Times New Roman" w:cs="Times New Roman"/>
        </w:rPr>
      </w:pPr>
    </w:p>
    <w:p w14:paraId="464568E2" w14:textId="77777777" w:rsidR="001C4A79" w:rsidRPr="008C1E2A" w:rsidRDefault="001C4A79" w:rsidP="001C4A79">
      <w:pPr>
        <w:jc w:val="both"/>
        <w:outlineLvl w:val="0"/>
        <w:rPr>
          <w:rFonts w:ascii="Times New Roman" w:eastAsia="等线" w:hAnsi="Times New Roman" w:cs="Times New Roman"/>
          <w:b/>
          <w:bCs/>
        </w:rPr>
      </w:pPr>
      <w:r w:rsidRPr="008C1E2A">
        <w:rPr>
          <w:rFonts w:ascii="Times New Roman" w:eastAsia="等线" w:hAnsi="Times New Roman" w:cs="Times New Roman"/>
          <w:b/>
          <w:bCs/>
        </w:rPr>
        <w:lastRenderedPageBreak/>
        <w:t>References</w:t>
      </w:r>
    </w:p>
    <w:p w14:paraId="3FC95C76" w14:textId="1DB9F7BE" w:rsidR="00732F19" w:rsidRPr="00F21BBD" w:rsidRDefault="00732F19" w:rsidP="00732F19">
      <w:pPr>
        <w:pStyle w:val="ae"/>
        <w:rPr>
          <w:rFonts w:ascii="Times New Roman" w:hAnsi="Times New Roman" w:cs="Times New Roman"/>
        </w:rPr>
      </w:pPr>
      <w:r w:rsidRPr="00F21BBD">
        <w:rPr>
          <w:rFonts w:ascii="Times New Roman" w:hAnsi="Times New Roman" w:cs="Times New Roman"/>
        </w:rPr>
        <w:t xml:space="preserve">C. Nuth and A. </w:t>
      </w:r>
      <w:proofErr w:type="spellStart"/>
      <w:r w:rsidRPr="00F21BBD">
        <w:rPr>
          <w:rFonts w:ascii="Times New Roman" w:hAnsi="Times New Roman" w:cs="Times New Roman"/>
        </w:rPr>
        <w:t>Kääb</w:t>
      </w:r>
      <w:proofErr w:type="spellEnd"/>
      <w:r w:rsidRPr="00F21BBD">
        <w:rPr>
          <w:rFonts w:ascii="Times New Roman" w:hAnsi="Times New Roman" w:cs="Times New Roman"/>
        </w:rPr>
        <w:t>: Co-registration and bias corrections of satellite elevation data sets for quantifying glacier thickness change, The Cryosphere, 5, 271–290, https://doi.org/doi:10.5194/tc-5-271-2011, 2011.</w:t>
      </w:r>
    </w:p>
    <w:p w14:paraId="2AECF6CE" w14:textId="77777777" w:rsidR="00732F19" w:rsidRPr="00F21BBD" w:rsidRDefault="00732F19" w:rsidP="00732F19">
      <w:pPr>
        <w:pStyle w:val="ae"/>
        <w:rPr>
          <w:rFonts w:ascii="Times New Roman" w:hAnsi="Times New Roman" w:cs="Times New Roman"/>
        </w:rPr>
      </w:pPr>
      <w:r w:rsidRPr="00F21BBD">
        <w:rPr>
          <w:rFonts w:ascii="Times New Roman" w:hAnsi="Times New Roman" w:cs="Times New Roman"/>
        </w:rPr>
        <w:t xml:space="preserve">Guo, W., Liu, S., Xu, J., Wu, L., Shangguan, D., Yao, X., Wei, J., Bao, W., Yu, P., Liu, Q., and Jiang, Z.: The second Chinese glacier inventory: data, methods and results, J. </w:t>
      </w:r>
      <w:proofErr w:type="spellStart"/>
      <w:r w:rsidRPr="00F21BBD">
        <w:rPr>
          <w:rFonts w:ascii="Times New Roman" w:hAnsi="Times New Roman" w:cs="Times New Roman"/>
        </w:rPr>
        <w:t>Glaciol</w:t>
      </w:r>
      <w:proofErr w:type="spellEnd"/>
      <w:r w:rsidRPr="00F21BBD">
        <w:rPr>
          <w:rFonts w:ascii="Times New Roman" w:hAnsi="Times New Roman" w:cs="Times New Roman"/>
        </w:rPr>
        <w:t>., 61, 357–372, https://doi.org/10.3189/2015JoG14J209, 2015.</w:t>
      </w:r>
    </w:p>
    <w:p w14:paraId="5FC511CE" w14:textId="77777777" w:rsidR="00732F19" w:rsidRPr="00F21BBD" w:rsidRDefault="00732F19" w:rsidP="00732F19">
      <w:pPr>
        <w:pStyle w:val="ae"/>
        <w:rPr>
          <w:rFonts w:ascii="Times New Roman" w:hAnsi="Times New Roman" w:cs="Times New Roman"/>
        </w:rPr>
      </w:pPr>
      <w:r w:rsidRPr="00F21BBD">
        <w:rPr>
          <w:rFonts w:ascii="Times New Roman" w:hAnsi="Times New Roman" w:cs="Times New Roman"/>
        </w:rPr>
        <w:t>Shean, D.: High Mountain Asia 8-meter DEM Mosaics Derived from Optical Imagery (1.0), https://doi.org/10.5067/KXOVQ9L172S2, 2017.</w:t>
      </w:r>
    </w:p>
    <w:p w14:paraId="4F1459EE" w14:textId="6ECCFEFC" w:rsidR="002D62A1" w:rsidRPr="00F21BBD" w:rsidRDefault="002D62A1" w:rsidP="002D62A1">
      <w:pPr>
        <w:tabs>
          <w:tab w:val="left" w:pos="4988"/>
        </w:tabs>
        <w:jc w:val="both"/>
        <w:outlineLvl w:val="0"/>
        <w:rPr>
          <w:rFonts w:ascii="Times New Roman" w:hAnsi="Times New Roman" w:cs="Times New Roman"/>
          <w:b/>
        </w:rPr>
      </w:pPr>
      <w:r w:rsidRPr="00F21BBD">
        <w:rPr>
          <w:rFonts w:ascii="Times New Roman" w:hAnsi="Times New Roman" w:cs="Times New Roman"/>
          <w:b/>
        </w:rPr>
        <w:t>Supplementary Figures</w:t>
      </w:r>
    </w:p>
    <w:p w14:paraId="6202791B" w14:textId="77777777" w:rsidR="00BC031F" w:rsidRPr="00F21BBD" w:rsidRDefault="00BC031F" w:rsidP="00BC031F">
      <w:pPr>
        <w:spacing w:after="0"/>
        <w:jc w:val="both"/>
        <w:rPr>
          <w:rFonts w:ascii="Times New Roman" w:eastAsia="等线" w:hAnsi="Times New Roman" w:cs="Times New Roman"/>
        </w:rPr>
      </w:pPr>
      <w:r w:rsidRPr="00F21BBD">
        <w:rPr>
          <w:rFonts w:ascii="Times New Roman" w:eastAsia="等线" w:hAnsi="Times New Roman" w:cs="Times New Roman"/>
          <w:noProof/>
        </w:rPr>
        <w:drawing>
          <wp:inline distT="0" distB="0" distL="0" distR="0" wp14:anchorId="05EAE62A" wp14:editId="1F8C7EF3">
            <wp:extent cx="5274310" cy="4415790"/>
            <wp:effectExtent l="0" t="0" r="2540" b="3810"/>
            <wp:docPr id="1093902376" name="图片 1" descr="地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902376" name="图片 1" descr="地图&#10;&#10;AI 生成的内容可能不正确。"/>
                    <pic:cNvPicPr/>
                  </pic:nvPicPr>
                  <pic:blipFill>
                    <a:blip r:embed="rId4"/>
                    <a:stretch>
                      <a:fillRect/>
                    </a:stretch>
                  </pic:blipFill>
                  <pic:spPr>
                    <a:xfrm>
                      <a:off x="0" y="0"/>
                      <a:ext cx="5274310" cy="4415790"/>
                    </a:xfrm>
                    <a:prstGeom prst="rect">
                      <a:avLst/>
                    </a:prstGeom>
                  </pic:spPr>
                </pic:pic>
              </a:graphicData>
            </a:graphic>
          </wp:inline>
        </w:drawing>
      </w:r>
    </w:p>
    <w:p w14:paraId="13ECFE77" w14:textId="5D424A58" w:rsidR="00BC031F" w:rsidRPr="00F21BBD" w:rsidRDefault="00BC031F" w:rsidP="00BC031F">
      <w:pPr>
        <w:jc w:val="both"/>
        <w:rPr>
          <w:rFonts w:ascii="Times New Roman" w:eastAsia="等线" w:hAnsi="Times New Roman" w:cs="Times New Roman"/>
          <w:color w:val="000000"/>
          <w:sz w:val="18"/>
          <w:szCs w:val="18"/>
        </w:rPr>
      </w:pPr>
      <w:r w:rsidRPr="00F21BBD">
        <w:rPr>
          <w:rFonts w:ascii="Times New Roman" w:eastAsia="等线" w:hAnsi="Times New Roman" w:cs="Times New Roman"/>
          <w:b/>
          <w:bCs/>
          <w:color w:val="000000"/>
          <w:sz w:val="18"/>
          <w:szCs w:val="18"/>
        </w:rPr>
        <w:t>Fig S1.</w:t>
      </w:r>
      <w:r w:rsidRPr="00F21BBD">
        <w:rPr>
          <w:rFonts w:ascii="Times New Roman" w:eastAsia="等线" w:hAnsi="Times New Roman" w:cs="Times New Roman"/>
          <w:color w:val="000000"/>
          <w:sz w:val="18"/>
          <w:szCs w:val="18"/>
        </w:rPr>
        <w:t xml:space="preserve"> </w:t>
      </w:r>
      <w:bookmarkStart w:id="10" w:name="OLE_LINK17"/>
      <w:r w:rsidRPr="00F21BBD">
        <w:rPr>
          <w:rFonts w:ascii="Times New Roman" w:eastAsia="等线" w:hAnsi="Times New Roman" w:cs="Times New Roman"/>
          <w:color w:val="000000"/>
          <w:sz w:val="18"/>
          <w:szCs w:val="18"/>
        </w:rPr>
        <w:t xml:space="preserve">(a) Approximate footprint of ice blocks splashed onto the Pida Glacier end-moraine complex (background: UAV orthographic image, 8 September 2024; Planet monthly mosaic, September 2024). Terminal-calving retreat lines are compiled from Landsat (1977–2010), </w:t>
      </w:r>
      <w:proofErr w:type="spellStart"/>
      <w:r w:rsidRPr="00F21BBD">
        <w:rPr>
          <w:rFonts w:ascii="Times New Roman" w:eastAsia="等线" w:hAnsi="Times New Roman" w:cs="Times New Roman"/>
          <w:color w:val="000000"/>
          <w:sz w:val="18"/>
          <w:szCs w:val="18"/>
        </w:rPr>
        <w:t>PlanetScope</w:t>
      </w:r>
      <w:proofErr w:type="spellEnd"/>
      <w:r w:rsidRPr="00F21BBD">
        <w:rPr>
          <w:rFonts w:ascii="Times New Roman" w:eastAsia="等线" w:hAnsi="Times New Roman" w:cs="Times New Roman"/>
          <w:color w:val="000000"/>
          <w:sz w:val="18"/>
          <w:szCs w:val="18"/>
        </w:rPr>
        <w:t xml:space="preserve"> (2020–2024) and the 8 September 2024 UAV mapping. Lake extents (black) for both Longbasaba and Pida were manually delineated from the UAV image. (b, c) Wetted-moraine extent inferred from Sentine</w:t>
      </w:r>
      <w:bookmarkStart w:id="11" w:name="OLE_LINK21"/>
      <w:r w:rsidRPr="00F21BBD">
        <w:rPr>
          <w:rFonts w:ascii="Times New Roman" w:eastAsia="等线" w:hAnsi="Times New Roman" w:cs="Times New Roman"/>
          <w:color w:val="000000"/>
          <w:sz w:val="18"/>
          <w:szCs w:val="18"/>
        </w:rPr>
        <w:t>l-2 NDMI</w:t>
      </w:r>
      <w:bookmarkEnd w:id="11"/>
      <w:r w:rsidRPr="00F21BBD">
        <w:rPr>
          <w:rFonts w:ascii="Times New Roman" w:eastAsia="等线" w:hAnsi="Times New Roman" w:cs="Times New Roman"/>
          <w:color w:val="000000"/>
          <w:sz w:val="18"/>
          <w:szCs w:val="18"/>
        </w:rPr>
        <w:t xml:space="preserve"> before (12 December) and after (17 December) the outburst event.</w:t>
      </w:r>
      <w:bookmarkEnd w:id="10"/>
    </w:p>
    <w:p w14:paraId="3688E080" w14:textId="77777777" w:rsidR="002D62A1" w:rsidRPr="00F21BBD" w:rsidRDefault="002D62A1" w:rsidP="002D62A1">
      <w:pPr>
        <w:tabs>
          <w:tab w:val="left" w:pos="4988"/>
        </w:tabs>
        <w:jc w:val="both"/>
        <w:rPr>
          <w:rFonts w:ascii="Times New Roman" w:hAnsi="Times New Roman" w:cs="Times New Roman"/>
        </w:rPr>
      </w:pPr>
    </w:p>
    <w:p w14:paraId="3C196CC3" w14:textId="77777777" w:rsidR="002D62A1" w:rsidRPr="00F21BBD" w:rsidRDefault="002D62A1" w:rsidP="002D62A1">
      <w:pPr>
        <w:tabs>
          <w:tab w:val="left" w:pos="4988"/>
        </w:tabs>
        <w:jc w:val="both"/>
        <w:rPr>
          <w:rFonts w:ascii="Times New Roman" w:hAnsi="Times New Roman" w:cs="Times New Roman"/>
        </w:rPr>
      </w:pPr>
      <w:r w:rsidRPr="00F21BBD">
        <w:rPr>
          <w:rFonts w:ascii="Times New Roman" w:hAnsi="Times New Roman" w:cs="Times New Roman"/>
          <w:noProof/>
        </w:rPr>
        <w:lastRenderedPageBreak/>
        <w:drawing>
          <wp:inline distT="0" distB="0" distL="0" distR="0" wp14:anchorId="7C1F0F34" wp14:editId="4E972EE2">
            <wp:extent cx="5274310" cy="4696460"/>
            <wp:effectExtent l="0" t="0" r="2540" b="8890"/>
            <wp:docPr id="333585479" name="图片 1" descr="地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85479" name="图片 1" descr="地图&#10;&#10;AI 生成的内容可能不正确。"/>
                    <pic:cNvPicPr/>
                  </pic:nvPicPr>
                  <pic:blipFill>
                    <a:blip r:embed="rId5"/>
                    <a:stretch>
                      <a:fillRect/>
                    </a:stretch>
                  </pic:blipFill>
                  <pic:spPr>
                    <a:xfrm>
                      <a:off x="0" y="0"/>
                      <a:ext cx="5274310" cy="4696460"/>
                    </a:xfrm>
                    <a:prstGeom prst="rect">
                      <a:avLst/>
                    </a:prstGeom>
                  </pic:spPr>
                </pic:pic>
              </a:graphicData>
            </a:graphic>
          </wp:inline>
        </w:drawing>
      </w:r>
    </w:p>
    <w:p w14:paraId="366E3BA6" w14:textId="77777777" w:rsidR="002D62A1" w:rsidRPr="00F21BBD" w:rsidRDefault="002D62A1" w:rsidP="002D62A1">
      <w:pPr>
        <w:tabs>
          <w:tab w:val="left" w:pos="4988"/>
        </w:tabs>
        <w:jc w:val="both"/>
        <w:rPr>
          <w:rFonts w:ascii="Times New Roman" w:hAnsi="Times New Roman" w:cs="Times New Roman"/>
          <w:color w:val="000000" w:themeColor="text1"/>
          <w:sz w:val="18"/>
          <w:szCs w:val="18"/>
        </w:rPr>
      </w:pPr>
      <w:bookmarkStart w:id="12" w:name="OLE_LINK11"/>
      <w:r w:rsidRPr="00F21BBD">
        <w:rPr>
          <w:rFonts w:ascii="Times New Roman" w:hAnsi="Times New Roman" w:cs="Times New Roman"/>
          <w:b/>
          <w:bCs/>
          <w:color w:val="000000" w:themeColor="text1"/>
          <w:sz w:val="18"/>
          <w:szCs w:val="18"/>
        </w:rPr>
        <w:t>Fig S2</w:t>
      </w:r>
      <w:r w:rsidRPr="00F21BBD">
        <w:rPr>
          <w:rFonts w:ascii="Times New Roman" w:hAnsi="Times New Roman" w:cs="Times New Roman"/>
          <w:color w:val="000000" w:themeColor="text1"/>
          <w:sz w:val="18"/>
          <w:szCs w:val="18"/>
        </w:rPr>
        <w:t>. UAV orthographic images acquired before and after the rock avalanche reveal landscape changes along the lateral slope and glacier terminus; surface-elevation changes were quantified from differential UAV-derived DSMs.</w:t>
      </w:r>
    </w:p>
    <w:bookmarkEnd w:id="12"/>
    <w:p w14:paraId="5B34DD07" w14:textId="77777777" w:rsidR="002D62A1" w:rsidRPr="00F21BBD" w:rsidRDefault="002D62A1" w:rsidP="002D62A1">
      <w:pPr>
        <w:tabs>
          <w:tab w:val="left" w:pos="4988"/>
        </w:tabs>
        <w:jc w:val="both"/>
        <w:rPr>
          <w:rFonts w:ascii="Times New Roman" w:hAnsi="Times New Roman" w:cs="Times New Roman"/>
        </w:rPr>
      </w:pPr>
      <w:r w:rsidRPr="00F21BBD">
        <w:rPr>
          <w:rFonts w:ascii="Times New Roman" w:hAnsi="Times New Roman" w:cs="Times New Roman"/>
          <w:noProof/>
        </w:rPr>
        <w:drawing>
          <wp:inline distT="0" distB="0" distL="0" distR="0" wp14:anchorId="18EE6AA5" wp14:editId="0D7E0DEB">
            <wp:extent cx="5274310" cy="2832735"/>
            <wp:effectExtent l="0" t="0" r="2540" b="5715"/>
            <wp:docPr id="262962142" name="图片 1" descr="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62142" name="图片 1" descr="日程表&#10;&#10;AI 生成的内容可能不正确。"/>
                    <pic:cNvPicPr/>
                  </pic:nvPicPr>
                  <pic:blipFill>
                    <a:blip r:embed="rId6"/>
                    <a:stretch>
                      <a:fillRect/>
                    </a:stretch>
                  </pic:blipFill>
                  <pic:spPr>
                    <a:xfrm>
                      <a:off x="0" y="0"/>
                      <a:ext cx="5274310" cy="2832735"/>
                    </a:xfrm>
                    <a:prstGeom prst="rect">
                      <a:avLst/>
                    </a:prstGeom>
                  </pic:spPr>
                </pic:pic>
              </a:graphicData>
            </a:graphic>
          </wp:inline>
        </w:drawing>
      </w:r>
    </w:p>
    <w:p w14:paraId="161031DC" w14:textId="77777777" w:rsidR="002D62A1" w:rsidRPr="00F21BBD" w:rsidRDefault="002D62A1" w:rsidP="002D62A1">
      <w:pPr>
        <w:tabs>
          <w:tab w:val="left" w:pos="4988"/>
        </w:tabs>
        <w:jc w:val="both"/>
        <w:rPr>
          <w:rFonts w:ascii="Times New Roman" w:hAnsi="Times New Roman" w:cs="Times New Roman"/>
          <w:color w:val="000000" w:themeColor="text1"/>
          <w:sz w:val="18"/>
          <w:szCs w:val="18"/>
        </w:rPr>
      </w:pPr>
      <w:r w:rsidRPr="00F21BBD">
        <w:rPr>
          <w:rFonts w:ascii="Times New Roman" w:hAnsi="Times New Roman" w:cs="Times New Roman"/>
          <w:b/>
          <w:bCs/>
          <w:color w:val="000000" w:themeColor="text1"/>
          <w:sz w:val="18"/>
          <w:szCs w:val="18"/>
        </w:rPr>
        <w:t>Fig S3.</w:t>
      </w:r>
      <w:r w:rsidRPr="00F21BBD">
        <w:rPr>
          <w:rFonts w:ascii="Times New Roman" w:hAnsi="Times New Roman" w:cs="Times New Roman"/>
          <w:color w:val="000000" w:themeColor="text1"/>
          <w:sz w:val="18"/>
          <w:szCs w:val="18"/>
        </w:rPr>
        <w:t xml:space="preserve"> Observed air and lake-water temperatures (0-80 cm beneath the surface) at Longbasaba Lake from 1 to 20 </w:t>
      </w:r>
      <w:r w:rsidRPr="00F21BBD">
        <w:rPr>
          <w:rFonts w:ascii="Times New Roman" w:hAnsi="Times New Roman" w:cs="Times New Roman"/>
          <w:color w:val="000000" w:themeColor="text1"/>
          <w:sz w:val="18"/>
          <w:szCs w:val="18"/>
        </w:rPr>
        <w:lastRenderedPageBreak/>
        <w:t xml:space="preserve">December 2024 (AWS location marked by the red star). </w:t>
      </w:r>
      <w:proofErr w:type="spellStart"/>
      <w:r w:rsidRPr="00F21BBD">
        <w:rPr>
          <w:rFonts w:ascii="Times New Roman" w:hAnsi="Times New Roman" w:cs="Times New Roman"/>
          <w:color w:val="000000" w:themeColor="text1"/>
          <w:sz w:val="18"/>
          <w:szCs w:val="18"/>
        </w:rPr>
        <w:t>PlanetScope</w:t>
      </w:r>
      <w:proofErr w:type="spellEnd"/>
      <w:r w:rsidRPr="00F21BBD">
        <w:rPr>
          <w:rFonts w:ascii="Times New Roman" w:hAnsi="Times New Roman" w:cs="Times New Roman"/>
          <w:color w:val="000000" w:themeColor="text1"/>
          <w:sz w:val="18"/>
          <w:szCs w:val="18"/>
        </w:rPr>
        <w:t xml:space="preserve"> satellite images illustrate ice cover evolution in the two neighboring proglacial lakes between 30 November and 18 December 2024.</w:t>
      </w:r>
    </w:p>
    <w:p w14:paraId="1931D337" w14:textId="77777777" w:rsidR="001E3E46" w:rsidRDefault="001E3E46">
      <w:pPr>
        <w:rPr>
          <w:rFonts w:ascii="Times New Roman" w:hAnsi="Times New Roman" w:cs="Times New Roman"/>
        </w:rPr>
      </w:pPr>
    </w:p>
    <w:p w14:paraId="7E7C4422" w14:textId="012F03F8" w:rsidR="00A407AF" w:rsidRDefault="004E140C">
      <w:pPr>
        <w:rPr>
          <w:rFonts w:ascii="Times New Roman" w:hAnsi="Times New Roman" w:cs="Times New Roman" w:hint="eastAsia"/>
        </w:rPr>
      </w:pPr>
      <w:r>
        <w:rPr>
          <w:rFonts w:ascii="Times New Roman" w:hAnsi="Times New Roman" w:cs="Times New Roman"/>
          <w:noProof/>
        </w:rPr>
        <w:drawing>
          <wp:inline distT="0" distB="0" distL="0" distR="0" wp14:anchorId="52C75319" wp14:editId="78852526">
            <wp:extent cx="5137150" cy="3613026"/>
            <wp:effectExtent l="0" t="0" r="6350" b="6985"/>
            <wp:docPr id="457517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r="19904"/>
                    <a:stretch>
                      <a:fillRect/>
                    </a:stretch>
                  </pic:blipFill>
                  <pic:spPr bwMode="auto">
                    <a:xfrm>
                      <a:off x="0" y="0"/>
                      <a:ext cx="5143595" cy="3617559"/>
                    </a:xfrm>
                    <a:prstGeom prst="rect">
                      <a:avLst/>
                    </a:prstGeom>
                    <a:noFill/>
                    <a:ln>
                      <a:noFill/>
                    </a:ln>
                    <a:extLst>
                      <a:ext uri="{53640926-AAD7-44D8-BBD7-CCE9431645EC}">
                        <a14:shadowObscured xmlns:a14="http://schemas.microsoft.com/office/drawing/2010/main"/>
                      </a:ext>
                    </a:extLst>
                  </pic:spPr>
                </pic:pic>
              </a:graphicData>
            </a:graphic>
          </wp:inline>
        </w:drawing>
      </w:r>
    </w:p>
    <w:p w14:paraId="69915EB6" w14:textId="0795AF23" w:rsidR="003C7770" w:rsidRPr="003B436B" w:rsidRDefault="004E140C">
      <w:pPr>
        <w:rPr>
          <w:rFonts w:ascii="Times New Roman" w:hAnsi="Times New Roman" w:cs="Times New Roman" w:hint="eastAsia"/>
          <w:color w:val="000000" w:themeColor="text1"/>
          <w:sz w:val="18"/>
          <w:szCs w:val="18"/>
        </w:rPr>
      </w:pPr>
      <w:r>
        <w:rPr>
          <w:rFonts w:ascii="Times New Roman" w:hAnsi="Times New Roman" w:cs="Times New Roman" w:hint="eastAsia"/>
          <w:b/>
          <w:bCs/>
          <w:color w:val="000000" w:themeColor="text1"/>
          <w:sz w:val="18"/>
          <w:szCs w:val="18"/>
        </w:rPr>
        <w:t>Mov</w:t>
      </w:r>
      <w:r w:rsidR="00262E91">
        <w:rPr>
          <w:rFonts w:ascii="Times New Roman" w:hAnsi="Times New Roman" w:cs="Times New Roman" w:hint="eastAsia"/>
          <w:b/>
          <w:bCs/>
          <w:color w:val="000000" w:themeColor="text1"/>
          <w:sz w:val="18"/>
          <w:szCs w:val="18"/>
        </w:rPr>
        <w:t>ie</w:t>
      </w:r>
      <w:r>
        <w:rPr>
          <w:rFonts w:ascii="Times New Roman" w:hAnsi="Times New Roman" w:cs="Times New Roman" w:hint="eastAsia"/>
          <w:b/>
          <w:bCs/>
          <w:color w:val="000000" w:themeColor="text1"/>
          <w:sz w:val="18"/>
          <w:szCs w:val="18"/>
        </w:rPr>
        <w:t xml:space="preserve"> </w:t>
      </w:r>
      <w:r w:rsidR="001E3E46" w:rsidRPr="00430D59">
        <w:rPr>
          <w:rFonts w:ascii="Times New Roman" w:hAnsi="Times New Roman" w:cs="Times New Roman" w:hint="eastAsia"/>
          <w:b/>
          <w:bCs/>
          <w:color w:val="000000" w:themeColor="text1"/>
          <w:sz w:val="18"/>
          <w:szCs w:val="18"/>
        </w:rPr>
        <w:t>S1.</w:t>
      </w:r>
      <w:r w:rsidR="00430D59">
        <w:rPr>
          <w:rFonts w:ascii="Times New Roman" w:hAnsi="Times New Roman" w:cs="Times New Roman" w:hint="eastAsia"/>
          <w:b/>
          <w:bCs/>
          <w:color w:val="000000" w:themeColor="text1"/>
          <w:sz w:val="18"/>
          <w:szCs w:val="18"/>
        </w:rPr>
        <w:t xml:space="preserve"> </w:t>
      </w:r>
      <w:r w:rsidR="00200423" w:rsidRPr="00200423">
        <w:rPr>
          <w:rFonts w:ascii="Times New Roman" w:hAnsi="Times New Roman" w:cs="Times New Roman" w:hint="eastAsia"/>
          <w:color w:val="000000" w:themeColor="text1"/>
          <w:sz w:val="18"/>
          <w:szCs w:val="18"/>
        </w:rPr>
        <w:t xml:space="preserve">The </w:t>
      </w:r>
      <w:r w:rsidR="00200423" w:rsidRPr="00200423">
        <w:rPr>
          <w:rFonts w:ascii="Times New Roman" w:hAnsi="Times New Roman" w:cs="Times New Roman"/>
          <w:color w:val="000000" w:themeColor="text1"/>
          <w:sz w:val="18"/>
          <w:szCs w:val="18"/>
        </w:rPr>
        <w:t>‘surged’ lake terminus</w:t>
      </w:r>
      <w:r w:rsidR="00200423" w:rsidRPr="00200423">
        <w:rPr>
          <w:rFonts w:ascii="Times New Roman" w:hAnsi="Times New Roman" w:cs="Times New Roman"/>
          <w:color w:val="000000" w:themeColor="text1"/>
          <w:sz w:val="18"/>
          <w:szCs w:val="18"/>
        </w:rPr>
        <w:t xml:space="preserve"> </w:t>
      </w:r>
      <w:r w:rsidR="00200423" w:rsidRPr="00200423">
        <w:rPr>
          <w:rFonts w:ascii="Times New Roman" w:hAnsi="Times New Roman" w:cs="Times New Roman" w:hint="eastAsia"/>
          <w:color w:val="000000" w:themeColor="text1"/>
          <w:sz w:val="18"/>
          <w:szCs w:val="18"/>
        </w:rPr>
        <w:t xml:space="preserve">presented by </w:t>
      </w:r>
      <w:r w:rsidR="00144591" w:rsidRPr="00200423">
        <w:rPr>
          <w:rFonts w:ascii="Times New Roman" w:hAnsi="Times New Roman" w:cs="Times New Roman" w:hint="eastAsia"/>
          <w:color w:val="000000" w:themeColor="text1"/>
          <w:sz w:val="18"/>
          <w:szCs w:val="18"/>
        </w:rPr>
        <w:t>GI</w:t>
      </w:r>
      <w:r w:rsidR="00144591" w:rsidRPr="003B436B">
        <w:rPr>
          <w:rFonts w:ascii="Times New Roman" w:hAnsi="Times New Roman" w:cs="Times New Roman" w:hint="eastAsia"/>
          <w:color w:val="000000" w:themeColor="text1"/>
          <w:sz w:val="18"/>
          <w:szCs w:val="18"/>
        </w:rPr>
        <w:t>F animation</w:t>
      </w:r>
      <w:r w:rsidR="003B436B" w:rsidRPr="003B436B">
        <w:rPr>
          <w:rFonts w:ascii="Times New Roman" w:hAnsi="Times New Roman" w:cs="Times New Roman" w:hint="eastAsia"/>
          <w:color w:val="000000" w:themeColor="text1"/>
          <w:sz w:val="18"/>
          <w:szCs w:val="18"/>
        </w:rPr>
        <w:t xml:space="preserve"> </w:t>
      </w:r>
      <w:r w:rsidR="00BE7117">
        <w:rPr>
          <w:rFonts w:ascii="Times New Roman" w:hAnsi="Times New Roman" w:cs="Times New Roman" w:hint="eastAsia"/>
          <w:color w:val="000000" w:themeColor="text1"/>
          <w:sz w:val="18"/>
          <w:szCs w:val="18"/>
        </w:rPr>
        <w:t xml:space="preserve">created </w:t>
      </w:r>
      <w:r w:rsidR="00200423">
        <w:rPr>
          <w:rFonts w:ascii="Times New Roman" w:hAnsi="Times New Roman" w:cs="Times New Roman" w:hint="eastAsia"/>
          <w:color w:val="000000" w:themeColor="text1"/>
          <w:sz w:val="18"/>
          <w:szCs w:val="18"/>
        </w:rPr>
        <w:t>from</w:t>
      </w:r>
      <w:r w:rsidR="003B436B" w:rsidRPr="003B436B">
        <w:rPr>
          <w:rFonts w:ascii="Times New Roman" w:hAnsi="Times New Roman" w:cs="Times New Roman" w:hint="eastAsia"/>
          <w:color w:val="000000" w:themeColor="text1"/>
          <w:sz w:val="18"/>
          <w:szCs w:val="18"/>
        </w:rPr>
        <w:t xml:space="preserve"> </w:t>
      </w:r>
      <w:proofErr w:type="spellStart"/>
      <w:r w:rsidR="003B436B" w:rsidRPr="003B436B">
        <w:rPr>
          <w:rFonts w:ascii="Times New Roman" w:hAnsi="Times New Roman" w:cs="Times New Roman" w:hint="eastAsia"/>
          <w:color w:val="000000" w:themeColor="text1"/>
          <w:sz w:val="18"/>
          <w:szCs w:val="18"/>
        </w:rPr>
        <w:t>PlanetScope</w:t>
      </w:r>
      <w:proofErr w:type="spellEnd"/>
      <w:r w:rsidR="003B436B" w:rsidRPr="003B436B">
        <w:rPr>
          <w:rFonts w:ascii="Times New Roman" w:hAnsi="Times New Roman" w:cs="Times New Roman" w:hint="eastAsia"/>
          <w:color w:val="000000" w:themeColor="text1"/>
          <w:sz w:val="18"/>
          <w:szCs w:val="18"/>
        </w:rPr>
        <w:t xml:space="preserve"> images before (16 Dec.) and after (17 Dec.) the GLOF.</w:t>
      </w:r>
    </w:p>
    <w:p w14:paraId="4720C012" w14:textId="77777777" w:rsidR="003C7770" w:rsidRPr="003C7770" w:rsidRDefault="003C7770">
      <w:pPr>
        <w:rPr>
          <w:rFonts w:ascii="Times New Roman" w:hAnsi="Times New Roman" w:cs="Times New Roman" w:hint="eastAsia"/>
        </w:rPr>
      </w:pPr>
    </w:p>
    <w:sectPr w:rsidR="003C7770" w:rsidRPr="003C777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2A1"/>
    <w:rsid w:val="0002372C"/>
    <w:rsid w:val="00060956"/>
    <w:rsid w:val="0006213F"/>
    <w:rsid w:val="000F1D36"/>
    <w:rsid w:val="00144591"/>
    <w:rsid w:val="001C4A79"/>
    <w:rsid w:val="001E3E46"/>
    <w:rsid w:val="00200423"/>
    <w:rsid w:val="002061C2"/>
    <w:rsid w:val="00231338"/>
    <w:rsid w:val="00262E91"/>
    <w:rsid w:val="002D62A1"/>
    <w:rsid w:val="003455DE"/>
    <w:rsid w:val="003A2795"/>
    <w:rsid w:val="003B0E99"/>
    <w:rsid w:val="003B436B"/>
    <w:rsid w:val="003C7770"/>
    <w:rsid w:val="003D71C9"/>
    <w:rsid w:val="00430D59"/>
    <w:rsid w:val="004E140C"/>
    <w:rsid w:val="006F1E0D"/>
    <w:rsid w:val="00732F19"/>
    <w:rsid w:val="00802DD0"/>
    <w:rsid w:val="00886B66"/>
    <w:rsid w:val="008C1E2A"/>
    <w:rsid w:val="00910E4E"/>
    <w:rsid w:val="00933C4A"/>
    <w:rsid w:val="00961541"/>
    <w:rsid w:val="00987C59"/>
    <w:rsid w:val="00A0022D"/>
    <w:rsid w:val="00A26076"/>
    <w:rsid w:val="00A407AF"/>
    <w:rsid w:val="00AC69DE"/>
    <w:rsid w:val="00AF66FC"/>
    <w:rsid w:val="00BC031F"/>
    <w:rsid w:val="00BE7117"/>
    <w:rsid w:val="00CA7EED"/>
    <w:rsid w:val="00E80CA9"/>
    <w:rsid w:val="00F17107"/>
    <w:rsid w:val="00F21BBD"/>
    <w:rsid w:val="00F509B2"/>
    <w:rsid w:val="00F51B74"/>
    <w:rsid w:val="00FE04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18CCB9"/>
  <w15:chartTrackingRefBased/>
  <w15:docId w15:val="{8DAC0AB9-5B07-8A47-9E0A-59D45F167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D62A1"/>
    <w:pPr>
      <w:widowControl w:val="0"/>
    </w:pPr>
  </w:style>
  <w:style w:type="paragraph" w:styleId="1">
    <w:name w:val="heading 1"/>
    <w:basedOn w:val="a"/>
    <w:next w:val="a"/>
    <w:link w:val="10"/>
    <w:uiPriority w:val="9"/>
    <w:qFormat/>
    <w:rsid w:val="002D62A1"/>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2D62A1"/>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2D62A1"/>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2D62A1"/>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2D62A1"/>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2D62A1"/>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2D62A1"/>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2D62A1"/>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2D62A1"/>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D62A1"/>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2D62A1"/>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2D62A1"/>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2D62A1"/>
    <w:rPr>
      <w:rFonts w:cstheme="majorBidi"/>
      <w:color w:val="0F4761" w:themeColor="accent1" w:themeShade="BF"/>
      <w:sz w:val="28"/>
      <w:szCs w:val="28"/>
    </w:rPr>
  </w:style>
  <w:style w:type="character" w:customStyle="1" w:styleId="50">
    <w:name w:val="标题 5 字符"/>
    <w:basedOn w:val="a0"/>
    <w:link w:val="5"/>
    <w:uiPriority w:val="9"/>
    <w:semiHidden/>
    <w:rsid w:val="002D62A1"/>
    <w:rPr>
      <w:rFonts w:cstheme="majorBidi"/>
      <w:color w:val="0F4761" w:themeColor="accent1" w:themeShade="BF"/>
      <w:sz w:val="24"/>
    </w:rPr>
  </w:style>
  <w:style w:type="character" w:customStyle="1" w:styleId="60">
    <w:name w:val="标题 6 字符"/>
    <w:basedOn w:val="a0"/>
    <w:link w:val="6"/>
    <w:uiPriority w:val="9"/>
    <w:semiHidden/>
    <w:rsid w:val="002D62A1"/>
    <w:rPr>
      <w:rFonts w:cstheme="majorBidi"/>
      <w:b/>
      <w:bCs/>
      <w:color w:val="0F4761" w:themeColor="accent1" w:themeShade="BF"/>
    </w:rPr>
  </w:style>
  <w:style w:type="character" w:customStyle="1" w:styleId="70">
    <w:name w:val="标题 7 字符"/>
    <w:basedOn w:val="a0"/>
    <w:link w:val="7"/>
    <w:uiPriority w:val="9"/>
    <w:semiHidden/>
    <w:rsid w:val="002D62A1"/>
    <w:rPr>
      <w:rFonts w:cstheme="majorBidi"/>
      <w:b/>
      <w:bCs/>
      <w:color w:val="595959" w:themeColor="text1" w:themeTint="A6"/>
    </w:rPr>
  </w:style>
  <w:style w:type="character" w:customStyle="1" w:styleId="80">
    <w:name w:val="标题 8 字符"/>
    <w:basedOn w:val="a0"/>
    <w:link w:val="8"/>
    <w:uiPriority w:val="9"/>
    <w:semiHidden/>
    <w:rsid w:val="002D62A1"/>
    <w:rPr>
      <w:rFonts w:cstheme="majorBidi"/>
      <w:color w:val="595959" w:themeColor="text1" w:themeTint="A6"/>
    </w:rPr>
  </w:style>
  <w:style w:type="character" w:customStyle="1" w:styleId="90">
    <w:name w:val="标题 9 字符"/>
    <w:basedOn w:val="a0"/>
    <w:link w:val="9"/>
    <w:uiPriority w:val="9"/>
    <w:semiHidden/>
    <w:rsid w:val="002D62A1"/>
    <w:rPr>
      <w:rFonts w:eastAsiaTheme="majorEastAsia" w:cstheme="majorBidi"/>
      <w:color w:val="595959" w:themeColor="text1" w:themeTint="A6"/>
    </w:rPr>
  </w:style>
  <w:style w:type="paragraph" w:styleId="a3">
    <w:name w:val="Title"/>
    <w:basedOn w:val="a"/>
    <w:next w:val="a"/>
    <w:link w:val="a4"/>
    <w:uiPriority w:val="10"/>
    <w:qFormat/>
    <w:rsid w:val="002D62A1"/>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D62A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D62A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2D62A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2D62A1"/>
    <w:pPr>
      <w:spacing w:before="160"/>
      <w:jc w:val="center"/>
    </w:pPr>
    <w:rPr>
      <w:i/>
      <w:iCs/>
      <w:color w:val="404040" w:themeColor="text1" w:themeTint="BF"/>
    </w:rPr>
  </w:style>
  <w:style w:type="character" w:customStyle="1" w:styleId="a8">
    <w:name w:val="引用 字符"/>
    <w:basedOn w:val="a0"/>
    <w:link w:val="a7"/>
    <w:uiPriority w:val="29"/>
    <w:rsid w:val="002D62A1"/>
    <w:rPr>
      <w:i/>
      <w:iCs/>
      <w:color w:val="404040" w:themeColor="text1" w:themeTint="BF"/>
    </w:rPr>
  </w:style>
  <w:style w:type="paragraph" w:styleId="a9">
    <w:name w:val="List Paragraph"/>
    <w:basedOn w:val="a"/>
    <w:uiPriority w:val="34"/>
    <w:qFormat/>
    <w:rsid w:val="002D62A1"/>
    <w:pPr>
      <w:ind w:left="720"/>
      <w:contextualSpacing/>
    </w:pPr>
  </w:style>
  <w:style w:type="character" w:styleId="aa">
    <w:name w:val="Intense Emphasis"/>
    <w:basedOn w:val="a0"/>
    <w:uiPriority w:val="21"/>
    <w:qFormat/>
    <w:rsid w:val="002D62A1"/>
    <w:rPr>
      <w:i/>
      <w:iCs/>
      <w:color w:val="0F4761" w:themeColor="accent1" w:themeShade="BF"/>
    </w:rPr>
  </w:style>
  <w:style w:type="paragraph" w:styleId="ab">
    <w:name w:val="Intense Quote"/>
    <w:basedOn w:val="a"/>
    <w:next w:val="a"/>
    <w:link w:val="ac"/>
    <w:uiPriority w:val="30"/>
    <w:qFormat/>
    <w:rsid w:val="002D62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D62A1"/>
    <w:rPr>
      <w:i/>
      <w:iCs/>
      <w:color w:val="0F4761" w:themeColor="accent1" w:themeShade="BF"/>
    </w:rPr>
  </w:style>
  <w:style w:type="character" w:styleId="ad">
    <w:name w:val="Intense Reference"/>
    <w:basedOn w:val="a0"/>
    <w:uiPriority w:val="32"/>
    <w:qFormat/>
    <w:rsid w:val="002D62A1"/>
    <w:rPr>
      <w:b/>
      <w:bCs/>
      <w:smallCaps/>
      <w:color w:val="0F4761" w:themeColor="accent1" w:themeShade="BF"/>
      <w:spacing w:val="5"/>
    </w:rPr>
  </w:style>
  <w:style w:type="paragraph" w:styleId="ae">
    <w:name w:val="Bibliography"/>
    <w:basedOn w:val="a"/>
    <w:next w:val="a"/>
    <w:uiPriority w:val="37"/>
    <w:unhideWhenUsed/>
    <w:rsid w:val="001C4A79"/>
    <w:pPr>
      <w:spacing w:after="24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gi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1188</TotalTime>
  <Pages>6</Pages>
  <Words>1529</Words>
  <Characters>8719</Characters>
  <Application>Microsoft Office Word</Application>
  <DocSecurity>0</DocSecurity>
  <Lines>72</Lines>
  <Paragraphs>20</Paragraphs>
  <ScaleCrop>false</ScaleCrop>
  <Company/>
  <LinksUpToDate>false</LinksUpToDate>
  <CharactersWithSpaces>10228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Qiao Liu</dc:creator>
  <cp:keywords/>
  <dc:description/>
  <cp:lastModifiedBy>Qiao Liu</cp:lastModifiedBy>
  <cp:revision>37</cp:revision>
  <dcterms:created xsi:type="dcterms:W3CDTF">2026-03-09T14:42:00Z</dcterms:created>
  <dcterms:modified xsi:type="dcterms:W3CDTF">2026-05-09T13:35:00Z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zotero-version="8.0.4"&gt;&lt;session id="5mCUGV47"/&gt;&lt;style id="http://www.zotero.org/styles/the-cryosphere" hasBibliography="1" bibliographyStyleHasBeenSet="1"/&gt;&lt;prefs&gt;&lt;pref name="fieldType" value="Field"/&gt;&lt;/prefs&gt;&lt;/data&gt;</vt:lpwstr>
  </property>
</Properties>
</file>